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特种设备安全监察条例</w:t>
      </w:r>
    </w:p>
    <w:p>
      <w:pPr>
        <w:keepNext w:val="0"/>
        <w:keepLines w:val="0"/>
        <w:pageBreakBefore w:val="0"/>
        <w:widowControl w:val="0"/>
        <w:kinsoku/>
        <w:wordWrap/>
        <w:overflowPunct/>
        <w:topLinePunct w:val="0"/>
        <w:autoSpaceDE/>
        <w:autoSpaceDN/>
        <w:bidi w:val="0"/>
        <w:snapToGrid/>
        <w:spacing w:line="594" w:lineRule="exact"/>
        <w:jc w:val="center"/>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4" w:lineRule="exact"/>
        <w:jc w:val="center"/>
        <w:textAlignment w:val="auto"/>
        <w:rPr>
          <w:rFonts w:hint="eastAsia" w:ascii="仿宋_GB2312" w:hAnsi="仿宋_GB2312" w:eastAsia="仿宋_GB2312" w:cs="仿宋_GB2312"/>
          <w:b w:val="0"/>
          <w:bCs w:val="0"/>
          <w:color w:val="000000" w:themeColor="text1"/>
          <w:sz w:val="36"/>
          <w:szCs w:val="36"/>
          <w:u w:val="none"/>
          <w:shd w:val="clear" w:color="auto"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第一章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第一条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为了加强特种设备的安全监察，防止和减少事故，保障人民群众生命和财产安全，促进经济发展，根据《特种设备安全法》</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节约能源法》和《大气污染防治法》</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，制定本条例。</w:t>
      </w:r>
    </w:p>
    <w:p>
      <w:pPr>
        <w:keepNext w:val="0"/>
        <w:keepLines w:val="0"/>
        <w:pageBreakBefore w:val="0"/>
        <w:widowControl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本条例所称特种设备是指涉及生命安全、危险性较大的锅炉、压力容器（含气瓶，下同）、压力管道、电梯、起重机械、客运索道、大型游乐设施和场（厂）内专用机动车辆。</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前款特种设备的目录由国务院负责特种设备安全监督管理的部门（以下简称国务院特种设备安全监督管理部门）制订，报国务院批准后执行。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特种设备的生产（含设计、制造、安装、改造、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，下同）、使用、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及其监督检查，应当遵守本条例，但本条例另有规定的除外</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军事装备、核设施、航空航天器、铁路机车、海上设施和船舶以及矿山井下使用的特种设备、民用机场专用设备的安全监察不适用本条例。</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房屋建筑工地和市政工程工地用起重机械、场（厂）内专用机动车辆的安装、使用</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以及其过程中的改造、修理、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、检测和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的监督管理，由建设行政主管部门依照有关法律、法规的规定执行。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长输管道、公用管道的使用的监督管理，由有关部门依照本条例和其他有关法律、法规的规定执行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第四条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国务院特种设备安全监督管理部门负责全国特种设备的安全监察工作，县以上地方负责特种设备安全监督管理的部门对本行政区域内特种设备实施安全监察（以下统称特种设备安全监督管理部门）。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特种设备生产、使用单位应当建立健全特种设备安全、节能管理制度和岗</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位安全、节能责任制度。</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特种设备生产、使用单位的主要负责人应当对本单位特种设备的安全和节能全面负责。</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特种设备生产、使用单位和特种设备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机构，应当接受特种设备安全监督管理部门依法进行的特种设备安全监察。</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机构，应当依照本条例规定，进行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工作，对其</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结果、鉴定结论承担法律责任。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县级以上地方人民政府应当</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落实属地监管责任，</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明确</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包干</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责任分工，</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督促、支持特种设备安全监督管理部门依法履行安全监察职责，</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加强特种设备基础设施建设和特种设备监管能力建设，所需经费列入本级预算。</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对特种设备安全监督管理部门发现、上报的重大问题，本级人民政府应当建立协调机制，牵头各相关部门及时组织协调解决。</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乡镇人民政府和街道办事处，以及开发区、工业园区、港区、风景区等应当对本行政区域或者管理区域内特种设备进行监督检查，依法履行属地监管责任。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有关行业主管部门和行业监管部门，应当按照“管行业必须管安全、管业务必须管安全、管生产经营必须管安全”和“谁主管谁牵头、谁为主谁牵头、谁靠近谁牵头”的要求，将特种设备安全纳入本行业领域安全生产统筹部署推进，督促特种设备生产、使用单位依法落实主体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国家鼓励推行科学的管理方法，采用先进技术，提高特种设备安全性能和管理水平，增强特种设备生产、使用单位防范事故的能力，对取得显著成绩的单位和个人，给予奖励。</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国家鼓励特种设备节能</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低碳</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技术的研究、开发、示范和推广，促进特种设备节能</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低碳</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技术创新和应用。</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特种设备生产、使用单位和特种设备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机构，应当保证必要的安全和节能投入</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国家鼓励建设使用特种设备</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智慧管理</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系统和质量安全追溯体系。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国家鼓励实行特种设备责任保险制度，</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提高事故赔付能力；鼓励推广应用“保险+服务”“电梯养老保险”等电梯安全保险模式，提升电梯安全治理水平。</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第九条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任何单位和个人对违反本条例规定的行为，有权向特种设备安全监督管理部门和行政监察等有关部门举报。</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特种设备安全监督管理部门应当建立特种设备安全监察举报制度，公布举报电话、信箱或者电子邮件地址，受理对特种设备生产、使用和检验检测违法行为的举报，并及时予以处理。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特种设备安全监督管理部门和行政监察等有关部门应当为举报人保密，并按照国家有关规定给予奖励。</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94" w:lineRule="exact"/>
        <w:jc w:val="center"/>
        <w:textAlignment w:val="auto"/>
        <w:rPr>
          <w:rFonts w:hint="eastAsia"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第二章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特种设备的生产</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特种设备生产单位，应当依照本条例规定以及国务院特种设备安全监督管理部门制订并公布的安全技术规范（以下简称安全技术规范）的要求，进行生产活动。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特种设备生产单位对其生产的特种设备的安全性能和能效指标负责，不得生产不符合安全性能要求和能效指标的特种设备，不得生产国家产业政策明令淘汰的特种设备。</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第十一条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的设计单位应当经特种设备安全监督管理部门许可，方可从事压力容器、压力管道的设计活动。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的设计单位应当具备下列条件：</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（一）有与压力容器、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设计相适应的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设计人员、</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设计校核人员、设计审批人员</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（二）有与压力容器、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设计相适应的场所和设备；</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（三）有与压力容器、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设计相适应的健全的管理制度和责任制度。</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锅炉、压力容器中的气瓶（以下简称气瓶）、氧舱和客运索道、大型游乐设施</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设计文件，应当经特种设备安全监督管理部门核准的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鉴定，方可用于制造。</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锅炉设计文件鉴定时，应当进行</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安全环保、节能低碳</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按照安全技术规范的要求，应当进行型式试验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含产品能效测试</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的特种设备产品、部件或者试制特种设备新产品、新部件、新材料，必须进行型式试验和能效测试。</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国家按照分类监督管理的原则对特种设备生产实行许可制度。特种设备生产单位应当具备下列条件，并经负责特种设备安全监督管理的部门许可，方可从事相应的活动：</w:t>
      </w:r>
    </w:p>
    <w:p>
      <w:pPr>
        <w:keepNext w:val="0"/>
        <w:keepLines w:val="0"/>
        <w:pageBreakBefore w:val="0"/>
        <w:numPr>
          <w:ilvl w:val="0"/>
          <w:numId w:val="0"/>
        </w:numPr>
        <w:kinsoku/>
        <w:wordWrap/>
        <w:overflowPunct/>
        <w:topLinePunct w:val="0"/>
        <w:autoSpaceDE/>
        <w:autoSpaceDN/>
        <w:bidi w:val="0"/>
        <w:adjustRightInd w:val="0"/>
        <w:snapToGrid/>
        <w:spacing w:line="594"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（一）有与生产相适应的专业技术人员</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和作业人员</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spacing w:line="594"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（二）有与生产相适应的设备、设施和工作场所；</w:t>
      </w:r>
    </w:p>
    <w:p>
      <w:pPr>
        <w:keepNext w:val="0"/>
        <w:keepLines w:val="0"/>
        <w:pageBreakBefore w:val="0"/>
        <w:numPr>
          <w:ilvl w:val="0"/>
          <w:numId w:val="0"/>
        </w:numPr>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（三）有健全的质量保证、安全管理和岗位责任等制度。</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（四）有安全技术规范要求的产品可追溯的信息化系统。</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以上特种设备生产单位许可目录</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由国务院特种设备安全监督管理部门确定。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第十五条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特种设备出厂时，应当附有安全技术规范要求的设计文件、产品质量合格证明、安装及使用维修说明、监督检验证明等文件。</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的施工单位应当在施工前将拟进行的特种设备安装、改造、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情况告知直辖市或者设区的市的特种设备安全监督管理部门，告知后即可施工。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电梯的安装、改造、</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重大</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，必须由电梯制造单位或者其通过合同委托、同意的依照本条例取得许可的单位进行。</w:t>
      </w:r>
      <w:r>
        <w:rPr>
          <w:rFonts w:hint="eastAsia" w:ascii="仿宋_GB2312" w:hAnsi="仿宋_GB2312" w:eastAsia="仿宋_GB2312" w:cs="仿宋_GB2312"/>
          <w:b w:val="0"/>
          <w:bCs w:val="0"/>
          <w:strike w:val="0"/>
          <w:color w:val="000000" w:themeColor="text1"/>
          <w:sz w:val="32"/>
          <w:szCs w:val="32"/>
          <w:u w:val="none"/>
          <w:shd w:val="clear" w:color="auto" w:fill="FFFFFF"/>
          <w14:textFill>
            <w14:solidFill>
              <w14:schemeClr w14:val="tx1"/>
            </w14:solidFill>
          </w14:textFill>
        </w:rPr>
        <w:t>电梯制造单位</w:t>
      </w:r>
      <w:r>
        <w:rPr>
          <w:rFonts w:hint="eastAsia" w:ascii="仿宋_GB2312" w:hAnsi="仿宋_GB2312" w:eastAsia="仿宋_GB2312" w:cs="仿宋_GB2312"/>
          <w:b w:val="0"/>
          <w:bCs w:val="0"/>
          <w:strike w:val="0"/>
          <w:color w:val="000000" w:themeColor="text1"/>
          <w:sz w:val="32"/>
          <w:szCs w:val="32"/>
          <w:u w:val="none"/>
          <w:shd w:val="clear" w:color="auto" w:fill="FFFFFF"/>
          <w14:textFill>
            <w14:solidFill>
              <w14:schemeClr w14:val="tx1"/>
            </w14:solidFill>
          </w14:textFill>
        </w:rPr>
        <w:t>对电梯</w:t>
      </w:r>
      <w:r>
        <w:rPr>
          <w:rFonts w:hint="eastAsia" w:ascii="仿宋_GB2312" w:hAnsi="仿宋_GB2312" w:eastAsia="仿宋_GB2312" w:cs="仿宋_GB2312"/>
          <w:b w:val="0"/>
          <w:bCs w:val="0"/>
          <w:strike w:val="0"/>
          <w:color w:val="000000" w:themeColor="text1"/>
          <w:sz w:val="32"/>
          <w:szCs w:val="32"/>
          <w:u w:val="none"/>
          <w:shd w:val="clear" w:color="auto" w:fill="FFFFFF"/>
          <w:lang w:eastAsia="zh-CN"/>
          <w14:textFill>
            <w14:solidFill>
              <w14:schemeClr w14:val="tx1"/>
            </w14:solidFill>
          </w14:textFill>
        </w:rPr>
        <w:t>安全性能</w:t>
      </w:r>
      <w:r>
        <w:rPr>
          <w:rFonts w:hint="eastAsia" w:ascii="仿宋_GB2312" w:hAnsi="仿宋_GB2312" w:eastAsia="仿宋_GB2312" w:cs="仿宋_GB2312"/>
          <w:b w:val="0"/>
          <w:bCs w:val="0"/>
          <w:strike w:val="0"/>
          <w:color w:val="000000" w:themeColor="text1"/>
          <w:sz w:val="32"/>
          <w:szCs w:val="32"/>
          <w:u w:val="none"/>
          <w:shd w:val="clear" w:color="auto" w:fill="FFFFFF"/>
          <w14:textFill>
            <w14:solidFill>
              <w14:schemeClr w14:val="tx1"/>
            </w14:solidFill>
          </w14:textFill>
        </w:rPr>
        <w:t>负责</w:t>
      </w:r>
      <w:r>
        <w:rPr>
          <w:rFonts w:hint="eastAsia" w:ascii="仿宋_GB2312" w:hAnsi="仿宋_GB2312" w:eastAsia="仿宋_GB2312" w:cs="仿宋_GB2312"/>
          <w:b w:val="0"/>
          <w:bCs w:val="0"/>
          <w:strike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电梯的</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制造单位不再具有相应</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类别</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电梯的</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生产</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许可资格</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；或者电梯使用单位拟自行选择取得相应资格的单位进行电梯改造、重大修理的，</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可以</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取得相应资格的单位进行电梯的改造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重大修理</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承担改造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重大修理的单位，</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应当</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按照相关要求</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加贴设备</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铭牌，</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对电梯的安全性能负责</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第十八</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电梯的制造、安装、改造和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活动，必须严格遵守安全技术规范的要求。电梯制造单位委托或者同意其他单位进行电梯安装、改造、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活动的，应当对其安装、改造、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活动进行安全指导和监控；电梯的安装、改造、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活动结束后，电梯制造单位应当按照安全技术规范的要求对电梯进行校验和调试，并对校验和调试的结果负责。</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电梯的制造、改造、修理单位应当明确所制造、改造、重大修理的电梯的质量保证期限不得低于五年。在质量保证期限内，电梯的主要部件和安全保护装置存在质量问题的，电梯的制造、改造、重大修理单位应当负责免费修理或者更换。</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二十</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锅炉、压力容器、</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电梯、起重机械、客运索道、大型游乐设施的安装、改造、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以及场（厂）内专用机动车辆的改造、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竣工后，安装、改造、</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重大</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的施工单位应当在验收后30日内将有关技术资料移交使用单位，高耗能特种设备还应当按照安全技术规范的要求提交能效测试报告。使用单位应当将其存入该特种设备的安全技术档案。</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二十一</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锅炉、压力容器、压力管道元件的制造过程和锅炉、压力容器、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电梯、起重机械、客运索道、大型游乐设施的安装、改造、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重大修理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过程，必须经</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核准的检验机构按照安全技术规范的要求进行监督检验；未经监督检验合格的不得出厂或者交付使用。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第二十二条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移动式压力容器、气瓶充装单位</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应当按照</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安全技术规范规定,经特种设备安全监督管理部门许可</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，方可从事充装活动。 充装单位应当具备下列条件：</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（一）有与充装和管理相适应的管理人员和技术人员；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（二）有与充装和管理相适应的充装设备、检测手段、场地厂房、器具、安全设施；</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（三）有健全的充装管理制度、责任制度、紧急处理措施；</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（四）有安全技术规范要求的产品可追溯的信息化系统。</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气瓶充装单位应当履行本条例规定的使用单位的责任义务，落实气瓶安全使用责任，按照安全技术规范的要求办理气瓶使用登记，及时申报定期检验，及时将达到报废条件的气瓶消除其使用功能后注销。</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气瓶充装单位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应当充装并</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向气体使用者提供符合安全技术规范要求的气瓶，对</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气体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使用者进行气瓶安全使用指导。</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特种设备生产单位应当配备质量安全总监</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和质量安全员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，协助主要负责人</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做好特种设备质量安全工作。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特种设备生产单位应当配备专职的</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安全管理人员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，负责</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生产过程中的质量安全工作</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，检查生产过程的质量安全控制程序和要求实施情况</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特种设备生产单位应当</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按照国家有关规定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配备相应持证的特种设备作业人员。</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spacing w:line="594" w:lineRule="exact"/>
        <w:jc w:val="center"/>
        <w:textAlignment w:val="auto"/>
        <w:rPr>
          <w:rFonts w:hint="eastAsia" w:ascii="仿宋_GB2312" w:hAnsi="仿宋_GB2312" w:eastAsia="仿宋_GB2312" w:cs="仿宋_GB2312"/>
          <w:b w:val="0"/>
          <w:bCs w:val="0"/>
          <w:strike w:val="0"/>
          <w:dstrike w:val="0"/>
          <w:color w:val="000000" w:themeColor="text1"/>
          <w:sz w:val="36"/>
          <w:szCs w:val="36"/>
          <w:shd w:val="clear" w:color="auto"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第三章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特种设备的使用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特种设备使用单位，应当严格执行本条例和有关安全生产的法律、行政法规的规定，保证特种设备的安全使用。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特种设备使用单位应当使用符合安全技术规范要求的特种设备。特种设备投入使用前，使用单位应当核对其是否附有本条例第十五条规定的相关文件。</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第二十六条</w:t>
      </w:r>
      <w:r>
        <w:rPr>
          <w:rFonts w:hint="eastAsia" w:ascii="仿宋_GB2312" w:hAnsi="仿宋_GB2312" w:eastAsia="仿宋_GB2312" w:cs="仿宋_GB2312"/>
          <w:b w:val="0"/>
          <w:bCs w:val="0"/>
          <w:i w:val="0"/>
          <w:caps w:val="0"/>
          <w:color w:val="000000" w:themeColor="text1"/>
          <w:spacing w:val="0"/>
          <w:kern w:val="2"/>
          <w:sz w:val="32"/>
          <w:szCs w:val="32"/>
          <w:highlight w:val="none"/>
          <w:u w:val="none"/>
          <w:shd w:val="clear" w:color="auto" w:fill="FFFFFF"/>
          <w:lang w:val="en-US" w:eastAsia="zh-CN" w:bidi="ar"/>
          <w14:textFill>
            <w14:solidFill>
              <w14:schemeClr w14:val="tx1"/>
            </w14:solidFill>
          </w14:textFill>
        </w:rPr>
        <w:t xml:space="preserve"> 特种设备在投入使用前或者投入使用后30日内，</w:t>
      </w:r>
      <w:r>
        <w:rPr>
          <w:rFonts w:hint="eastAsia" w:ascii="仿宋_GB2312" w:hAnsi="仿宋_GB2312" w:eastAsia="仿宋_GB2312" w:cs="仿宋_GB2312"/>
          <w:b w:val="0"/>
          <w:bCs w:val="0"/>
          <w:color w:val="000000" w:themeColor="text1"/>
          <w:kern w:val="2"/>
          <w:sz w:val="32"/>
          <w:szCs w:val="32"/>
          <w:highlight w:val="none"/>
          <w:u w:val="none"/>
          <w:shd w:val="clear" w:color="auto" w:fill="FFFFFF"/>
          <w:lang w:val="en-US" w:eastAsia="zh-CN" w:bidi="ar"/>
          <w14:textFill>
            <w14:solidFill>
              <w14:schemeClr w14:val="tx1"/>
            </w14:solidFill>
          </w14:textFill>
        </w:rPr>
        <w:t>特种设备使用单位应当按照安全技术规范的要求向</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地级市的</w:t>
      </w:r>
      <w:r>
        <w:rPr>
          <w:rFonts w:hint="eastAsia" w:ascii="仿宋_GB2312" w:hAnsi="仿宋_GB2312" w:eastAsia="仿宋_GB2312" w:cs="仿宋_GB2312"/>
          <w:b w:val="0"/>
          <w:bCs w:val="0"/>
          <w:color w:val="000000" w:themeColor="text1"/>
          <w:kern w:val="2"/>
          <w:sz w:val="32"/>
          <w:szCs w:val="32"/>
          <w:highlight w:val="none"/>
          <w:u w:val="none"/>
          <w:shd w:val="clear" w:color="auto" w:fill="FFFFFF"/>
          <w:lang w:val="en-US" w:eastAsia="zh-CN" w:bidi="ar"/>
          <w14:textFill>
            <w14:solidFill>
              <w14:schemeClr w14:val="tx1"/>
            </w14:solidFill>
          </w14:textFill>
        </w:rPr>
        <w:t>特种设备安全监督管理部门登记，</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地级市的</w:t>
      </w:r>
      <w:r>
        <w:rPr>
          <w:rFonts w:hint="eastAsia" w:ascii="仿宋_GB2312" w:hAnsi="仿宋_GB2312" w:eastAsia="仿宋_GB2312" w:cs="仿宋_GB2312"/>
          <w:b w:val="0"/>
          <w:bCs w:val="0"/>
          <w:color w:val="000000" w:themeColor="text1"/>
          <w:spacing w:val="0"/>
          <w:w w:val="100"/>
          <w:position w:val="0"/>
          <w:sz w:val="32"/>
          <w:szCs w:val="32"/>
          <w:highlight w:val="none"/>
          <w:u w:val="none"/>
          <w:shd w:val="clear" w:color="auto" w:fill="auto"/>
          <w14:textFill>
            <w14:solidFill>
              <w14:schemeClr w14:val="tx1"/>
            </w14:solidFill>
          </w14:textFill>
        </w:rPr>
        <w:t>特种设备安全监督管理部门可以委托下一级特种设备安全监督管理部门</w:t>
      </w:r>
      <w:r>
        <w:rPr>
          <w:rFonts w:hint="eastAsia" w:ascii="仿宋_GB2312" w:hAnsi="仿宋_GB2312" w:eastAsia="仿宋_GB2312" w:cs="仿宋_GB2312"/>
          <w:b w:val="0"/>
          <w:bCs w:val="0"/>
          <w:color w:val="000000" w:themeColor="text1"/>
          <w:sz w:val="32"/>
          <w:szCs w:val="32"/>
          <w:u w:val="none"/>
          <w:shd w:val="clear" w:color="auto" w:fill="auto"/>
          <w:lang w:eastAsia="zh-CN"/>
          <w14:textFill>
            <w14:solidFill>
              <w14:schemeClr w14:val="tx1"/>
            </w14:solidFill>
          </w14:textFill>
        </w:rPr>
        <w:t>登记。</w:t>
      </w:r>
      <w:r>
        <w:rPr>
          <w:rFonts w:hint="eastAsia" w:ascii="仿宋_GB2312" w:hAnsi="仿宋_GB2312" w:eastAsia="仿宋_GB2312" w:cs="仿宋_GB2312"/>
          <w:b w:val="0"/>
          <w:bCs w:val="0"/>
          <w:color w:val="000000" w:themeColor="text1"/>
          <w:kern w:val="2"/>
          <w:sz w:val="32"/>
          <w:szCs w:val="32"/>
          <w:highlight w:val="none"/>
          <w:u w:val="none"/>
          <w:shd w:val="clear" w:color="auto" w:fill="FFFFFF"/>
          <w:lang w:val="en-US" w:eastAsia="zh-CN" w:bidi="ar"/>
          <w14:textFill>
            <w14:solidFill>
              <w14:schemeClr w14:val="tx1"/>
            </w14:solidFill>
          </w14:textFill>
        </w:rPr>
        <w:t>压力管道中的长输管道和公用管道不需办理使用登记，其定期检验信息应当按规定录入检验信息系统。</w:t>
      </w:r>
      <w:r>
        <w:rPr>
          <w:rFonts w:hint="eastAsia" w:ascii="仿宋_GB2312" w:hAnsi="仿宋_GB2312" w:eastAsia="仿宋_GB2312" w:cs="仿宋_GB2312"/>
          <w:b w:val="0"/>
          <w:bCs w:val="0"/>
          <w:i w:val="0"/>
          <w:caps w:val="0"/>
          <w:color w:val="000000" w:themeColor="text1"/>
          <w:spacing w:val="0"/>
          <w:kern w:val="2"/>
          <w:sz w:val="32"/>
          <w:szCs w:val="32"/>
          <w:highlight w:val="none"/>
          <w:u w:val="none"/>
          <w:shd w:val="clear" w:color="auto" w:fill="FFFFFF"/>
          <w:lang w:val="en-US" w:eastAsia="zh-CN" w:bidi="ar"/>
          <w14:textFill>
            <w14:solidFill>
              <w14:schemeClr w14:val="tx1"/>
            </w14:solidFill>
          </w14:textFill>
        </w:rPr>
        <w:t>登记标志应当置于或者附着于该特种设备的显著位置。特种设备使用单位不得购置未办理使用登记的二手特种设备，不得将未办理使用登记的特种设备二次销售、转卖、过户。</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特种设备使用单位应当建立特种设备安全技术档案。安全技术档案应当包括以下内容：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（一）特种设备的设计文件、制造单位、产品质量合格证明、使用维护说明等文件以及安装技术文件和资料；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（二）特种设备的定期检验和定期自行检查的记录；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（三）特种设备的日常使用状况记录；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（四）特种设备及其安全附件、安全保护装置、测量调控装置及有关附属仪器仪表的日常维护保养记录；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（五）特种设备运行故障和事故记录；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（六）高耗能特种设备的能效测试报告、能耗状况记录以及节能改造技术资料。</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特种设备使用单位应当对在用特种设备进行经常性日常维护保养，并定期自行检查。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特种设备使用单位对在用特种设备应当至少每月进行一次自行检查，并作出记录。特种设备使用单位在对在用特种设备进行自行检查和日常维护保养时发现异常情况的，应当及时处理。</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特种设备使用单位应当对在用特种设备的安全附件、安全保护装置、测量调控装置及有关附属仪器仪表进行定期校验、检修，并作出记录。</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锅炉使用单位应当按照安全技术规范的要求进行锅炉水（介）质处理，并接受特种设备检验机构实施的水（介）质处理定期检验。</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从事锅炉清洗的单位，应当按照安全技术规范的要求进行锅炉清洗</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并接受特种设备检验机构实施的锅炉清洗过程监督检验。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第二十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特种设备使用单位应当按照安全技术规范的定期检验要求，在安全检验合格有效期届满前1个月向特种设备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提出定期检验要求。</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接到定期检验要求后，应当按照安全技术规范的要求及时进行安全性能检验和能效测试。</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未经定期检验或者检验不合格的特种设备，不得继续使用。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i w:val="0"/>
          <w:caps w:val="0"/>
          <w:color w:val="000000" w:themeColor="text1"/>
          <w:spacing w:val="0"/>
          <w:kern w:val="2"/>
          <w:sz w:val="32"/>
          <w:szCs w:val="32"/>
          <w:highlight w:val="none"/>
          <w:u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电梯使用单位应当按照安全技术规范的要求进行自行检测，不具备自行检测能力的，可按照安全技术规范的要求，委托符合条件的单位承担检测工作。未经检测的电梯，不得继续使用</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特种设备出现故障或者发生异常情况，使用单位应当对其进行全面检查，消除事故隐患后，方可重新投入使用。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特种设备不符合能效指标的，特种设备使用单位应当采取相应措施进行整改。</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三十一</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特种设备存在严重事故隐患，无改造、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价值，或者超过安全技术规范规定使用年限，特种设备使用单位应当及时予以报废，并应当向原登记的特种设备安全监督管理部门办理注销。</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三十二</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电梯的日常维护保养必须由依照本条例取得许可的安装、改造、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单位或者电梯制造单位进行。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电梯应当按照安全技术规范要求定期进行清洁、润滑、调整</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监测</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和检查等维护保养。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三十三</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电梯的日常维护保养单位应当在维护保养中严格执行国家安全技术规范的要求，保证其维护保养的电梯的安全性能，并负责落实现场安全防护措施，保证施工安全。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四条</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电梯使用单位应当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保证电梯紧急报警装置有效应答</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接到电梯故障</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报警</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后，应当立即组织救援，</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通知维保单位，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并采取必要的沟通安抚等应急救援措施。</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电梯的日常维护保养单位接到</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电梯使用单位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故障通知后，应当立即赶赴现场，并采取必要的应急救援措施。</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地方各级人民政府要将电梯应急救援纳入本地区应急救援体系，建立电梯应急救援公共服务平台，统一协调指挥电梯应急救援工作。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电梯、客运索道、大型游乐设施、</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场（厂）内专用机动车辆中非公路用旅游观光车辆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特种设备的安全管理人员应当对特种设备使用状况进行经常性检查，发现问题的应当立即处理；情况紧急时，可以决定停止使用特种设备并及时报告本单位有关负责人。</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客运索道、大型游乐设施</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场（厂）内专用机动车辆中非公路用旅游观光车辆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的运营使用单位在每日投入使用前，应当进行试运行和例行安全检查，并对安全装置进行检查确认。</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电梯、客运索道、大型游乐设施、</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场（厂）内专用机动车辆中非公路用旅游观光车辆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的运营使用单位应当将安全注意事项和警示标志置于易于为乘客注意的显著位置。</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使用单位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的主要负责人应当熟悉</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相关安全知识，并全面负责</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的安全使用。</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特种设备使用单位应当配备安全总监</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和安全员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，协助</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主要负责人</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做好特种设备使用安全管理工作。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的使用单位，应当结合本单位的实际情况，配备相应数量的营救装备和急救物品。</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电梯、客运索道、大型游乐设施、场（厂）内专用机动车辆中非公路用旅游观光车辆的乘客，应当遵守安全使用说明和安全注意事项的要求，服从有关工作人员的管理和指挥；遇有运行不正常时，应当按照安全指引，有序撤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第三十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电梯的使用单位按照以下</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原则</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确定：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）新安装未移交所有权人的，项目建设单位是使用单位；</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）单一产权且自行管理的，所有权人是使用单位；</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）委托物业服务企业等市场主体管理的，受委托方是使用单位；</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）出租房屋内安装的电梯或者出租电梯的，出租单位是使用单位，法律另有规定或者当事人另有约定的，从其规定或者约定；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）属于共有的，共有人须委托物业服务企业或专业公司等市场主体管理电梯，受委托方是使用单位。</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按照以上原则无法确定使用单位的，由</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电梯所在地</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乡镇人民政府和街道办事处协调确定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，或者指定其所属的物业服务中心为使用单位。</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四十一</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特种设备作业人员及其相关管理人员（以下统称特种设备作业人员），应当按照国家有关规定取得相应的资格，方可从事相应的作业或者管理工作。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以上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特种设备作业人员</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分类和管理要求，由</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国务院特种设备安全监督管理部门确定。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四十二</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特种设备使用单位应当对特种设备作业人员进行特种设备安全、节能教育和培训，保证特种设备作业人员具备必要的特种设备安全、节能知识。</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特种设备作业人员在作业中应当严格执行特种设备的操作规程和有关的安全规章制度。</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四十三</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特种设备作业人员在作业过程中发现事故隐患或者其他不安全因素，应当立即向现场安全管理人员和单位有关负责人报告。</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spacing w:line="594" w:lineRule="exact"/>
        <w:jc w:val="center"/>
        <w:textAlignment w:val="auto"/>
        <w:rPr>
          <w:rFonts w:hint="eastAsia"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第四章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检验检测</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四十四</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从事本条例规定的监督检验、定期检验、型式试验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含产品能效测试</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以及专门为特种设备生产、</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经营、使用</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提供</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服务的特种设备检测机构，应当经特种设备安全监督管理部门核准。</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地方人民政府设立的负有特种设备安全保障职责的公益性事业单位性质的特种设备检验机构，经特种设备安全监督管理部门核准后，在地方人民政府规定的区域内承担特种设备监督检验和定期检验工作，为属地特种设备安全监督管理部门提供技术支撑。</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特种设备使用单位设立的特种设备检验机构，经</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核准，负责本单位核准范围内的特种设备定期检验工作。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以上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检验、检测机构核准和管理要求，由</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国务院特种设备安全监督管理部门确定。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四十五</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特种设备检验检测机构，应当具备下列条件：</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(一)有与所从事的检验检测工作相适应的检验检测人员；</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(二)有与所从事的检验检测工作相适应的检验检测仪器和设备；</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(三)有健全的检验检测管理制度、检验检测责任制度。</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第四十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特种设备的监督检验、定期检验、型式试验和检测应当由依照本条例经核准的特种设备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进行。</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工作应当符合安全技术规范的要求。</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监督检验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定期检验和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型式试验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信息应按规定录入信息化系统。</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第四十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从事本条例规定的特种设备检验、检测人员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应当经</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组织考核合格，取得</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员证书，方可从事检验检测工作。</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对特种设备检验、检测人员实施执业</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公示</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制度。特种设备检验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检测人员从事检验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检测工作，</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不得同时在两个以上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或单位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中执业。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第四十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机构和检验检测人员进行特种设备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，应当遵循诚信原则和方便企业的原则，为特种设备生产、使用单位提供可靠、便捷的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服务。</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特种设备检验检测机构及其检验检测人员对</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检验检测过程中知悉</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的被检验检测单位的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国家秘密</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商业秘密，负有保密义务。</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第四十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检测机构和检验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检测人员应当客观、公正、及时地出具检验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检测结果</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鉴定结论。检验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检测结果</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鉴定结论经检验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检测人员签字后，由检验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检测机构负责人签署。</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检测机构和检验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检测人员对检验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检测结果</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鉴定结论负责。</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应当组织对特种设备检验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检测机构进行监督抽查。监督抽查结果应当向社会公布。</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特种设备检验检测机构和检验检测人员不得从事特种设备的生产、销售，不得以其名义推荐或者监制、监销特种设备。</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五十一</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特种设备检验检测机构进行特种设备检验检测，发现严重事故隐患或者能耗严重超标的，应当及时告知特种设备使用单位，并立即向特种设备安全监督管理部门报告。</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发现应当报废的气瓶时，</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在气瓶报废处理前</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应当消除气瓶使用功能。</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五十二</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spacing w:line="594" w:lineRule="exact"/>
        <w:jc w:val="center"/>
        <w:textAlignment w:val="auto"/>
        <w:rPr>
          <w:rFonts w:hint="eastAsia"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第五章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监督检查</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 特种设备安全监督管理部门依照本条例规定，对特种设备生产、使用单位和检验检测机构实施安全监察。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对学校、幼儿园以及车站、客运码头、商场、体育场馆、展览馆、公园等公众聚集场所的特种设备，特种设备安全监督管理部门应当实施重点安全监察。</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四</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 特种设备安全监督管理部门根据举报或者取得的涉嫌违法证据，对涉嫌违反本条例规定的行为进行查处时，可以行使下列职权：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（一）向特种设备生产、使用单位和检验检测机构的法定代表人、主要负责人和其他有关人员调查、了解与涉嫌从事违反本条例的生产、使用、检验检测有关的情况；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（二）查阅、复制特种设备生产、使用单位和检验检测机构的有关合同、发票、账簿以及其他有关资料；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（三）对有证据表明不符合安全技术规范要求的或者有其他严重事故隐患、能耗严重超标的特种设备，予以查封或者扣押。</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五</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未依法取得许可、核准、登记的单位擅自从事特种设备的生产、使用或者检验检测活动的，特种设备安全监督管理部门应当依法予以处理。</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违反本条例规定，被依法撤销许可的，自撤销许可之日起3年内，特种设备安全监督管理部门不予受理其新的许可申请。</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特种设备安全监督管理部门的安全监察人员（以下简称特种设备安全监察人员）应当熟悉相关法律、法规、规章和安全技术规范，具有相应的专业知识和工作经验，并经考核，取得特种设备安全</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监察人员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证件。</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特种设备安全监察人员应当忠于职守、坚持原则、秉公执法。</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第五十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特种设备安全监督管理部门对特种设备生产、使用单位和检验检测机构实施安全监察时，应当有两名以上特种设备安全监察人员参加，并出示有效的特种设备安全监察人员证件。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六十一</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 xml:space="preserve">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六十二</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三条</w:t>
      </w:r>
      <w:r>
        <w:rPr>
          <w:rFonts w:hint="eastAsia" w:ascii="仿宋_GB2312" w:hAnsi="仿宋_GB2312" w:eastAsia="仿宋_GB2312" w:cs="仿宋_GB2312"/>
          <w:b w:val="0"/>
          <w:bCs w:val="0"/>
          <w:strike w:val="0"/>
          <w:dstrike w:val="0"/>
          <w:color w:val="000000" w:themeColor="text1"/>
          <w:sz w:val="32"/>
          <w:szCs w:val="32"/>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国务院特种设备安全监督管理部门和省、自治区、直辖市特种设备安全监督管理部门应当定期向社会公布特种设备安全以及能效状况。</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公布特种设备安全以及能效状况，应当包括下列内容：</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（一）特种设备质量安全状况；</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（二）特种设备事故的情况、特点、原因分析、防范对策；</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（三）特种设备能效状况；</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shd w:val="clear" w:color="auto" w:fill="FFFFFF"/>
          <w14:textFill>
            <w14:solidFill>
              <w14:schemeClr w14:val="tx1"/>
            </w14:solidFill>
          </w14:textFill>
        </w:rPr>
        <w:t>（四）其他需要公布的情况。</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spacing w:line="594" w:lineRule="exact"/>
        <w:jc w:val="center"/>
        <w:textAlignment w:val="auto"/>
        <w:rPr>
          <w:rFonts w:hint="eastAsia"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第六章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事故预防和调查处理</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特种设备事故，是指列入《特种设备目录》的特种设备因其本体原因及其安全装置、附件损坏、失效，或者特种设备相关人员违反特种设备法律法规规章、安全技术规范造成的事故。</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有下列情形之一的，为特别重大事故：</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（一）特种设备事故造成30人以上死亡，或者100人以上重伤（包括急性工业中毒，下同）的；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（二）特种设备事故造成1亿元以上直接经济损失的；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（三）压力容器、压力管道有毒介质泄漏，造成15万人以上转移的。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五</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有下列情形之一的，为重大事故：</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（一）特种设备事故造成10人以上30人以下死亡，或者50人以上100人以下重伤的；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（二）特种设备事故造成5000万元以上1亿元以下直接经济损失的；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600兆瓦以上锅炉爆炸的；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（四）压力容器、压力管道有毒介质泄漏，造成5万人以上15万人以下转移的。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六</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有下列情形之一的，为较大事故：</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（一）特种设备事故造成3人以上10人以下死亡，或者10人以上50人以下重伤的；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（二）特种设备事故造成1000万元以上5000万元以下直接经济损失的；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（三）600兆瓦以上锅炉因安全故障中断运行240小时以上的；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压力容器、压力管道有毒介质泄漏，造成1万人以上5万人以下转移的。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七</w:t>
      </w: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有下列情形之一的，为一般事故：</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（一）特种设备事故造成3人以下死亡，或者10人以下重伤的；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（二）特种设备事故造成</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300万元以上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1000万元以下直接经济损失的；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（三）锅炉、压力容器、压力管道爆炸的；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（四）起重机械整体倾覆的；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（五）压力容器、压力管道有毒介质泄漏，造成500人以上1万人以下转移的；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（六）电梯轿厢滞留人员2小时以上的；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（七）客运索道高空滞留人员3.5小时以上</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大型游乐设施高空滞留人员1小时以上的。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除前款规定外，国务院特种设备安全监督管理部门可以对一般事故的其他情形做出补充规定。</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14:textFill>
            <w14:solidFill>
              <w14:schemeClr w14:val="tx1"/>
            </w14:solidFill>
          </w14:textFill>
        </w:rPr>
        <w:t>第六十</w:t>
      </w: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特种设备安全监督管理部门应当制定特种设备应急预案。特种设备使用单位应当制定事故应急专项预案，并定期进行事故应急演练。</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压力容器、压力管道发生爆炸或者泄漏，在抢险救援时应当区分介质特性，严格按照相关预案规定程序处理，防止二次爆炸。</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六十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w:t>
      </w:r>
      <w:r>
        <w:rPr>
          <w:rFonts w:hint="eastAsia" w:ascii="仿宋_GB2312" w:hAnsi="仿宋_GB2312" w:eastAsia="黑体" w:cs="仿宋_GB2312"/>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特种设备事故发生后，事故发生单位应当立即启动事故应急预案，组织抢救，防止事故扩大，减少人员伤亡和财产损失，并及时向事故发生地县以上特种设备安全监督管理部门和有关部门报告。</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应急</w:t>
      </w:r>
      <w:r>
        <w:rPr>
          <w:rFonts w:hint="eastAsia" w:ascii="仿宋_GB2312" w:hAnsi="仿宋_GB2312" w:eastAsia="仿宋_GB2312" w:cs="仿宋_GB2312"/>
          <w:b w:val="0"/>
          <w:bCs w:val="0"/>
          <w:strike w:val="0"/>
          <w:dstrike w:val="0"/>
          <w:color w:val="000000" w:themeColor="text1"/>
          <w:sz w:val="32"/>
          <w:szCs w:val="32"/>
          <w14:textFill>
            <w14:solidFill>
              <w14:schemeClr w14:val="tx1"/>
            </w14:solidFill>
          </w14:textFill>
        </w:rPr>
        <w:t>管理部门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等有关部门。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七十</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特别重大事故由国务院或者国务院授权有关部门组织事故调查组进行调查。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重大事故由国务院特种设备安全监督管理部门会同有关部门组织事故调查组进行调查。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较大事故由省、自治区、直辖市特种设备安全监督管理部门会同有关部门组织事故调查组进行调查。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一般事故由</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地级市</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的特种设备安全监督管理部门会同有关部门组织事故调查组进行调查。</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国务院特种设备安全监督管理部门、省级特种设备安全监督管理部门和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地级市</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特种设备安全监督管理部门可以授权下一级特种设备安全监督管理部门组织事故调查组进行调查。</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七十一</w:t>
      </w:r>
      <w:r>
        <w:rPr>
          <w:rFonts w:hint="eastAsia" w:ascii="仿宋_GB2312" w:hAnsi="仿宋_GB2312" w:eastAsia="黑体" w:cs="仿宋_GB2312"/>
          <w:b w:val="0"/>
          <w:bCs w:val="0"/>
          <w:color w:val="000000" w:themeColor="text1"/>
          <w:sz w:val="32"/>
          <w:szCs w:val="32"/>
          <w:lang w:eastAsia="zh-CN"/>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事故调查报告应当由负责组织事故调查的特种设备安全监督管理部门的所在地人民政府批复，并报上一级特种设备安全监督管理部门备案。</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有关机关应当按照批复，依照法律、行政法规规定的权限和程序，对事故责任单位和有关人员进行行政处罚，对负有事故责任的国家工作人员进行处分。</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七十二</w:t>
      </w:r>
      <w:r>
        <w:rPr>
          <w:rFonts w:hint="eastAsia" w:ascii="仿宋_GB2312" w:hAnsi="仿宋_GB2312" w:eastAsia="黑体" w:cs="仿宋_GB2312"/>
          <w:b w:val="0"/>
          <w:bCs w:val="0"/>
          <w:color w:val="000000" w:themeColor="text1"/>
          <w:sz w:val="32"/>
          <w:szCs w:val="32"/>
          <w:lang w:eastAsia="zh-CN"/>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特种设备安全监督管理部门应当在有关地方人民政府的领导下，组织开展特种设备事故调查处理工作。</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有关地方人民政府应当支持、配合上级人民政府或者特种设备安全监督管理部门的事故调查处理工作，并提供必要的便利条件。</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eastAsia="zh-CN"/>
          <w14:textFill>
            <w14:solidFill>
              <w14:schemeClr w14:val="tx1"/>
            </w14:solidFill>
          </w14:textFill>
        </w:rPr>
        <w:t>三</w:t>
      </w:r>
      <w:r>
        <w:rPr>
          <w:rFonts w:hint="eastAsia" w:ascii="仿宋_GB2312" w:hAnsi="仿宋_GB2312" w:eastAsia="黑体" w:cs="仿宋_GB2312"/>
          <w:b w:val="0"/>
          <w:bCs w:val="0"/>
          <w:color w:val="000000" w:themeColor="text1"/>
          <w:sz w:val="32"/>
          <w:szCs w:val="32"/>
          <w:lang w:eastAsia="zh-CN"/>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特种设备安全监督管理部门应当对发生事故的原因进行分析，并根据特种设备的管理和技术特点、事故情况对相关安全技术规范进行评估；需要制定或者修订相关安全技术规范的，应当及时制定或者修订。</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四</w:t>
      </w:r>
      <w:r>
        <w:rPr>
          <w:rFonts w:hint="eastAsia" w:ascii="仿宋_GB2312" w:hAnsi="仿宋_GB2312" w:eastAsia="黑体" w:cs="仿宋_GB2312"/>
          <w:b w:val="0"/>
          <w:bCs w:val="0"/>
          <w:color w:val="000000" w:themeColor="text1"/>
          <w:sz w:val="32"/>
          <w:szCs w:val="32"/>
          <w:lang w:eastAsia="zh-CN"/>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本章所称的“以上”包括本数，所称的“以下”不包括本数。</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594" w:lineRule="exact"/>
        <w:jc w:val="center"/>
        <w:textAlignment w:val="auto"/>
        <w:rPr>
          <w:rFonts w:hint="eastAsia" w:ascii="仿宋_GB2312" w:hAnsi="仿宋_GB2312" w:eastAsia="仿宋_GB2312" w:cs="仿宋_GB2312"/>
          <w:b w:val="0"/>
          <w:bCs w:val="0"/>
          <w:color w:val="000000" w:themeColor="text1"/>
          <w:sz w:val="36"/>
          <w:szCs w:val="36"/>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第七章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法律责任</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黑体" w:cs="仿宋_GB2312"/>
          <w:b w:val="0"/>
          <w:bCs w:val="0"/>
          <w:color w:val="000000" w:themeColor="text1"/>
          <w:sz w:val="32"/>
          <w:szCs w:val="32"/>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五</w:t>
      </w:r>
      <w:r>
        <w:rPr>
          <w:rFonts w:hint="eastAsia" w:ascii="仿宋_GB2312" w:hAnsi="仿宋_GB2312" w:eastAsia="黑体" w:cs="仿宋_GB2312"/>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14:textFill>
            <w14:solidFill>
              <w14:schemeClr w14:val="tx1"/>
            </w14:solidFill>
          </w14:textFill>
        </w:rPr>
        <w:t>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六</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锅炉、气瓶、氧舱</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客运索道、大型游乐设施的设计文件，未经特种设备安全监督管理部门核准的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鉴定，擅自用于制造的，由特种设备安全监督管理部门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七</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按照安全技术规范的要求应当进行型式试验（含能效测试）的特种设备产品、部件或者试制特种设备新产品、新部件</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新材料</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，未进行型式试验的，由特种设备安全监督管理部门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特种设备型式试验不再符合安全技术规范的，由实施型式试验的检验机构撤销其型式试验证书或报告。</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未经许可，擅自从事</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及其</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部件</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安全附件、安全保护装置的</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生产活动的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七十</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特种设备出厂时，未按照安全技术规范的要求</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随附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设计文件、产品质量合格证明、安装及使用</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维护</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说明、监督检验证明</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Hans"/>
          <w14:textFill>
            <w14:solidFill>
              <w14:schemeClr w14:val="tx1"/>
            </w14:solidFill>
          </w14:textFill>
        </w:rPr>
        <w:t>型式试验证书</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等文件的，由特种设备安全监督管理部门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依照《中华人民共和国特种设备安全法》有关规定实施行政处罚；情节严重的，暂扣生产许可证。</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未经许可，擅自从事</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或者</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日常维护保养的，由特种设备安全监督管理部门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责令停止违法行为，予以警告或通报批评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处1万元以上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10</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万元以下罚款；有违法所得的，没收违法所得。</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电梯的维护保养单位未按照安全技术规范的要求进行电梯维护保养的，依照前款规定</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实施行政</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处罚。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八十一</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的施工单位在施工前未将拟进行的特种设备安装、改造、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情况书面告知特种设备安全监督管理部门即行施工的，或者在验收后30日内未将有关技术资料移交</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使用单位的，由特种设备安全监督管理部门责令</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停止实施违法行为</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并依照《中华人民共和国特种设备安全法》有关规定实施行政处罚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情节严重的，暂扣</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生产许可证</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，暂扣期间进行特种设备生产活动的，视为未经许可生产。</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strike w:val="0"/>
          <w:dstrike w:val="0"/>
          <w:color w:val="000000" w:themeColor="text1"/>
          <w:sz w:val="32"/>
          <w:szCs w:val="32"/>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八十二</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锅炉、压力容器、压力管道元件、大型游乐设施的制造过程和锅炉、压力容器、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、电梯、起重机械、客运索道、大型游乐设施的安装、改造、重大</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过程，以及锅炉清洗过程，未经特种设备安全监督管理部门核准的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检验机构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按照安全技术规范的要求进行监督检验的，由特种设备安全监督管理部门责令改正，已经出厂的，没收违法生产、销售的产品，已经实施安装、改造、重大</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或者清洗的，责令限期</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改正</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；逾期未改正的，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万元以下罚款；有违法所得的，没收违法所得</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情节严重的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吊销</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生产许可证</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14:textFill>
            <w14:solidFill>
              <w14:schemeClr w14:val="tx1"/>
            </w14:solidFill>
          </w14:textFill>
        </w:rPr>
        <w:t>未经监督检验合格的特种设备交付使用的，依照前款规定处罚。</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八十三</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未经许可，擅自从事移动式压力容器或者气瓶充装活动的，</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以及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移动式压力容器、气瓶充装单位未按照安全技术规范的要求进行充装活动的，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由特种设备安全监督管理部门</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highlight w:val="none"/>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八十四</w:t>
      </w:r>
      <w:r>
        <w:rPr>
          <w:rFonts w:hint="eastAsia" w:ascii="仿宋_GB2312" w:hAnsi="仿宋_GB2312" w:eastAsia="黑体" w:cs="仿宋_GB2312"/>
          <w:b w:val="0"/>
          <w:bCs w:val="0"/>
          <w:color w:val="000000" w:themeColor="text1"/>
          <w:sz w:val="32"/>
          <w:szCs w:val="32"/>
          <w:highlight w:val="none"/>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电梯制造单位有下列情形之一的，由特种设备安全监督管理部门责令限期改正，</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予以警告或通报批评；</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逾期未改正的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10</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万元以下罚款</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（一）未依照本条例第十九条的规定对电梯进行校验、调试的；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（二）对电梯的安全运行情况进行跟踪调查和了解时，发现存在严重事故隐患，未及时向特种设备安全监督管理部门报告的。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八十五</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已经取得许可、核准的特种设备生产</w:t>
      </w:r>
      <w:r>
        <w:rPr>
          <w:rFonts w:hint="eastAsia" w:ascii="仿宋_GB2312" w:hAnsi="仿宋_GB2312" w:eastAsia="仿宋_GB2312" w:cs="仿宋_GB2312"/>
          <w:b w:val="0"/>
          <w:bCs w:val="0"/>
          <w:color w:val="000000" w:themeColor="text1"/>
          <w:sz w:val="32"/>
          <w:szCs w:val="32"/>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充装</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检测机构有下列行为之一的，由特种设备安全监督管理部门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责令改正；逾期未改正的，责令停止特种设备生产、充装、检验、检测活动，暂扣许可证件；情节严重的，吊销许可证件</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（一）未按照安全技术规范的要求办理许可证变更手续的；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（二）未依照本条例规定或者安全技术规范要求进行特种设备生产、充装、检验、检测的；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（三）不再符合本条例规定或者安全技术规范要求的条件，继续从事特种设备生产、充装、检验、检测的；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 xml:space="preserve">（四）伪造、变造、出租、出借、转让许可证书或者监督检验报告的。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仿宋_GB2312" w:cs="仿宋_GB2312"/>
          <w:b w:val="0"/>
          <w:bCs w:val="0"/>
          <w:strike w:val="0"/>
          <w:dstrike w:val="0"/>
          <w:color w:val="000000" w:themeColor="text1"/>
          <w:sz w:val="32"/>
          <w:szCs w:val="32"/>
          <w:shd w:val="clear" w:color="auto" w:fill="FFFFFF"/>
          <w:lang w:val="en-US" w:eastAsia="zh-CN"/>
          <w14:textFill>
            <w14:solidFill>
              <w14:schemeClr w14:val="tx1"/>
            </w14:solidFill>
          </w14:textFill>
        </w:rPr>
        <w:t>八十六</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条 特种设备使用单位有下列情形之一的，由特种设备安全监督管理部门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责令限期改正，并给予警告；情节严重的，责令停止使用，并处1万元以上10万元以下罚款：</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（一）特种设备投入使用前或者投入使用后30日内，未向特种设备安全监督管理部门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办理使用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登记；</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（二）未依照本条例第二十六条的规定，建立特种设备安全技术档案</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或者安全技术档案不符合规定要求，或者未依法设置使用登记标志、定期检验标志的；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（四）未按照安全技术规范的定期检验要求，在安全检验合格有效期届满前1个月向特种设备检验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检测机构提出定期检验要求的；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使用未经自行检测的电梯的；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（六）未依照本条例第三十一条第二款的规定，对电梯进行清洁、润滑、调整和检查的；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（七）未按照安全技术规范要求进行锅炉水（介）质处理的；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（八）未制定特种设备事故应急专项预案并定期进行应急演练的；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九</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特种设备未按照安全技术规范的要求进行定期能效测试或设备</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不符合</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能效指标，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未及时采取相应措施进行整改的</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（十）未依照本条例和安全技术规范要求，开展特种设备使用管理的。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特种设备使用单位使用未取得生产许可的单位生产的特种设备，由特种设备安全监督管理部门予以没收</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30</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使用未经定期检验或者定期检验不合格</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特种设备的，由特种设备安全监督管理部门责令停止使用，</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处2000元以上2万元以下罚款，情节严重的，</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吊销使用登记证书</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八十七</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特种设备存在严重事故隐患，无改造、</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修理</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价值，或者</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达到安全技术规范规定的报废条件</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特种设备使用单位未予以报废，并向原登记的特种设备安全监督管理部门办理</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使用登记证书</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注销的，由特种设备安全监督管理部门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八十八</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电梯、客运索道、大型游乐设施的运营使用单位有下列情形之一的，由特种设备安全监督管理部门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（一）客运索道、大型游乐设施每日投入使用前，未进行试运行和例行安全检查，并对安全装置进行检查确认的；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（二）未将电梯、客运索道、大型游乐设施的安全注意事项和警示标志置于易于为乘客注意的显著位置的。</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green"/>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kern w:val="2"/>
          <w:sz w:val="32"/>
          <w:szCs w:val="32"/>
          <w:shd w:val="clear" w:color="auto" w:fill="FFFFFF"/>
          <w:lang w:val="en-US" w:eastAsia="zh-CN" w:bidi="ar-SA"/>
          <w14:textFill>
            <w14:solidFill>
              <w14:schemeClr w14:val="tx1"/>
            </w14:solidFill>
          </w14:textFill>
        </w:rPr>
        <w:t>八十九</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生产、经营、</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使用单位有下列情形之一的，由特种设备安全监督管理部门</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责令限期改正；</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情节严重</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的，责令停止使用有关特种设备或者停产停业整顿，</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万元以下罚款:</w:t>
      </w:r>
    </w:p>
    <w:p>
      <w:pPr>
        <w:keepNext w:val="0"/>
        <w:keepLines w:val="0"/>
        <w:pageBreakBefore w:val="0"/>
        <w:kinsoku/>
        <w:wordWrap/>
        <w:overflowPunct/>
        <w:topLinePunct w:val="0"/>
        <w:autoSpaceDE/>
        <w:autoSpaceDN/>
        <w:bidi w:val="0"/>
        <w:adjustRightInd w:val="0"/>
        <w:snapToGrid/>
        <w:spacing w:beforeAutospacing="0" w:afterAutospacing="0"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（一）未依照本条例</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安全技术规范</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规定设置特种设备安全管理机构或者配备专职、兼职的安全管理人员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、作业人员</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使用未取得相应资格的人员从事特种设备安全管理、作业和检测的；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（三）未对特种设备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安全管理人员、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作业人员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和检测人员</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进行特种设备安全教育和培训的。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发生特种设备事故，有下列情形之一的，</w:t>
      </w:r>
      <w:r>
        <w:rPr>
          <w:rFonts w:hint="eastAsia" w:ascii="仿宋_GB2312" w:hAnsi="仿宋_GB2312" w:eastAsia="仿宋_GB2312" w:cs="仿宋_GB2312"/>
          <w:b w:val="0"/>
          <w:bCs w:val="0"/>
          <w:color w:val="000000" w:themeColor="text1"/>
          <w:sz w:val="32"/>
          <w:szCs w:val="32"/>
          <w:u w:val="none"/>
          <w:shd w:val="clear" w:color="auto" w:fill="auto"/>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u w:val="none"/>
          <w:shd w:val="clear" w:color="auto" w:fill="auto"/>
          <w:lang w:eastAsia="zh-CN"/>
          <w14:textFill>
            <w14:solidFill>
              <w14:schemeClr w14:val="tx1"/>
            </w14:solidFill>
          </w14:textFill>
        </w:rPr>
        <w:t>事故发生</w:t>
      </w:r>
      <w:r>
        <w:rPr>
          <w:rFonts w:hint="eastAsia" w:ascii="仿宋_GB2312" w:hAnsi="仿宋_GB2312" w:eastAsia="仿宋_GB2312" w:cs="仿宋_GB2312"/>
          <w:b w:val="0"/>
          <w:bCs w:val="0"/>
          <w:color w:val="000000" w:themeColor="text1"/>
          <w:sz w:val="32"/>
          <w:szCs w:val="32"/>
          <w:u w:val="none"/>
          <w:shd w:val="clear" w:color="auto" w:fill="auto"/>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主要负责人</w:t>
      </w:r>
      <w:r>
        <w:rPr>
          <w:rFonts w:hint="eastAsia" w:ascii="仿宋_GB2312" w:hAnsi="仿宋_GB2312" w:eastAsia="仿宋_GB2312" w:cs="仿宋_GB2312"/>
          <w:b w:val="0"/>
          <w:bCs w:val="0"/>
          <w:color w:val="000000" w:themeColor="text1"/>
          <w:sz w:val="32"/>
          <w:szCs w:val="32"/>
          <w:u w:val="none"/>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（一）特种设备使用单位的主要负责人在本单位发生特种设备事故时，不立即组织抢救或者在事故调查处理期间擅离职守或者逃匿的；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（二）特种设备使用单位的主要负责人对特种设备事故隐瞒不报、谎报或者拖延不报的。</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九十一</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对事故发生负有责任的单位，由特种设备安全监督管理部门依照</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《中华人民共和国特种设备法》实施行政处罚。</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九十二</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对事故发生负有责任的单位的主要负责人未依法履行职责，导致事故发生的，由特种设备安全监督管理部门依照下列规定处以罚款；属于国家工作人员的，并依法给予处分；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（一）发生一般事故的，处上一年年收入30%的罚款；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（二）发生较大事故的，处上一年年收入40%的罚款； </w:t>
      </w:r>
    </w:p>
    <w:p>
      <w:pPr>
        <w:keepNext w:val="0"/>
        <w:keepLines w:val="0"/>
        <w:pageBreakBefore w:val="0"/>
        <w:kinsoku/>
        <w:wordWrap/>
        <w:overflowPunct/>
        <w:topLinePunct w:val="0"/>
        <w:autoSpaceDE/>
        <w:autoSpaceDN/>
        <w:bidi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（三）发生重大事故的，处上一年年收入60%的罚款。</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九十三</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特种设备作业人员违反特种设备的操作规程和有关的安全规章制度操作，或者在作业过程中发现事故隐患或者其他不安全因素，未立即向现场安全管理人员和单位有关负责人报告的，</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以及</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现场安全管理人员和单位有关负责人</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接到报告后未及时采取措施的，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由特种设备使用单位给予批评教育、处分；</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造成事故的，</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由发证单位或机构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吊销</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或撤销作业人员的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资格</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九十四</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未经核准，擅自从事本条例所规定的监督检验、定期检验、型式试验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无损检测等检验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检测活动的，由特种设备安全监督管理部门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责令停止检验、检测活动</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处</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万元以下罚款</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九十五</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检测机构及其检验、检测人员，有下列情形之一的，由特种设备安全监督管理部门</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14:textFill>
            <w14:solidFill>
              <w14:schemeClr w14:val="tx1"/>
            </w14:solidFill>
          </w14:textFill>
        </w:rPr>
        <w:t>责令改正，</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并</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对机构处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万元以下罚款，对直接负责的主管人员和其他直接责任人员处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千元以上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万元以下罚款；情节严重的，吊销机构资质和有关人员的资格</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（一）聘用未取得检验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检测人员证书的人员从事相关检验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检测工作的</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，或者</w:t>
      </w:r>
      <w:r>
        <w:rPr>
          <w:rFonts w:hint="eastAsia" w:ascii="仿宋_GB2312" w:hAnsi="仿宋_GB2312" w:eastAsia="仿宋_GB2312" w:cs="仿宋_GB2312"/>
          <w:b w:val="0"/>
          <w:bCs w:val="0"/>
          <w:color w:val="000000" w:themeColor="text1"/>
          <w:sz w:val="32"/>
          <w:szCs w:val="32"/>
          <w:highlight w:val="none"/>
          <w:u w:val="none"/>
          <w:shd w:val="clear" w:color="auto" w:fill="auto"/>
          <w14:textFill>
            <w14:solidFill>
              <w14:schemeClr w14:val="tx1"/>
            </w14:solidFill>
          </w14:textFill>
        </w:rPr>
        <w:t>使用未在本机构</w:t>
      </w:r>
      <w:r>
        <w:rPr>
          <w:rFonts w:hint="eastAsia" w:ascii="仿宋_GB2312" w:hAnsi="仿宋_GB2312" w:eastAsia="仿宋_GB2312" w:cs="仿宋_GB2312"/>
          <w:b w:val="0"/>
          <w:bCs w:val="0"/>
          <w:color w:val="000000" w:themeColor="text1"/>
          <w:sz w:val="32"/>
          <w:szCs w:val="32"/>
          <w:highlight w:val="none"/>
          <w:u w:val="none"/>
          <w:shd w:val="clear" w:color="auto" w:fill="auto"/>
          <w:lang w:eastAsia="zh-CN"/>
          <w14:textFill>
            <w14:solidFill>
              <w14:schemeClr w14:val="tx1"/>
            </w14:solidFill>
          </w14:textFill>
        </w:rPr>
        <w:t>执业公示</w:t>
      </w:r>
      <w:r>
        <w:rPr>
          <w:rFonts w:hint="eastAsia" w:ascii="仿宋_GB2312" w:hAnsi="仿宋_GB2312" w:eastAsia="仿宋_GB2312" w:cs="仿宋_GB2312"/>
          <w:b w:val="0"/>
          <w:bCs w:val="0"/>
          <w:color w:val="000000" w:themeColor="text1"/>
          <w:sz w:val="32"/>
          <w:szCs w:val="32"/>
          <w:highlight w:val="none"/>
          <w:u w:val="none"/>
          <w:shd w:val="clear" w:color="auto" w:fill="auto"/>
          <w14:textFill>
            <w14:solidFill>
              <w14:schemeClr w14:val="tx1"/>
            </w14:solidFill>
          </w14:textFill>
        </w:rPr>
        <w:t>的检验</w:t>
      </w:r>
      <w:r>
        <w:rPr>
          <w:rFonts w:hint="eastAsia" w:ascii="仿宋_GB2312" w:hAnsi="仿宋_GB2312" w:eastAsia="仿宋_GB2312" w:cs="仿宋_GB2312"/>
          <w:b w:val="0"/>
          <w:bCs w:val="0"/>
          <w:color w:val="000000" w:themeColor="text1"/>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auto"/>
          <w14:textFill>
            <w14:solidFill>
              <w14:schemeClr w14:val="tx1"/>
            </w14:solidFill>
          </w14:textFill>
        </w:rPr>
        <w:t>检测人员从事相关检验</w:t>
      </w:r>
      <w:r>
        <w:rPr>
          <w:rFonts w:hint="eastAsia" w:ascii="仿宋_GB2312" w:hAnsi="仿宋_GB2312" w:eastAsia="仿宋_GB2312" w:cs="仿宋_GB2312"/>
          <w:b w:val="0"/>
          <w:bCs w:val="0"/>
          <w:color w:val="000000" w:themeColor="text1"/>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auto"/>
          <w14:textFill>
            <w14:solidFill>
              <w14:schemeClr w14:val="tx1"/>
            </w14:solidFill>
          </w14:textFill>
        </w:rPr>
        <w:t>检测工作的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（二）在进行特种设备检验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检测中，发现严重事故隐患或者能耗严重超标，未及时告知特种设备使用单位，并立即向特种设备安全监督管理部门报告的；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（三）泄露检验、检测过程中知悉的商业秘密的</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九十六</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检测机构和</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生产、充装单位及</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检测人员，出具虚假的检验检测结果、鉴定结论或者检验检测结果、鉴定结论严重失实的，由特种设备安全监督管理部门</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责令改正，对机构处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万元以下罚款，对直接负责的主管人员和其他直接责任人员处</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千元以上</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万元以下罚款；情节严重的，吊销机构资质和有关人员的资格</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九十七</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检测机构或者检验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检测人员从事特种设备的生产、</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经营活动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，或者以其名义推荐或者监制、监销特种设备的，由特种设备安全监督管理部门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九十八</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检测机构和检验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检测人员利用检验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检测工作故意刁难特种设备生产、使用单位</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，由特种设备安全监督管理部门</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依照《中华人民共和国特种设备安全法》有关规定实施行政处罚</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九十九</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检测人员</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同时</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在两个以上检验、检测机构中执业的，由特种设备安全监督管理部门责令</w:t>
      </w:r>
      <w:r>
        <w:rPr>
          <w:rFonts w:hint="eastAsia" w:ascii="仿宋_GB2312" w:hAnsi="仿宋_GB2312" w:eastAsia="仿宋_GB2312" w:cs="仿宋_GB2312"/>
          <w:b w:val="0"/>
          <w:bCs w:val="0"/>
          <w:color w:val="000000" w:themeColor="text1"/>
          <w:sz w:val="32"/>
          <w:szCs w:val="32"/>
          <w:highlight w:val="none"/>
          <w:u w:val="none"/>
          <w:shd w:val="clear" w:color="auto" w:fill="FFFFFF"/>
          <w:lang w:val="en-US" w:eastAsia="zh-CN"/>
          <w14:textFill>
            <w14:solidFill>
              <w14:schemeClr w14:val="tx1"/>
            </w14:solidFill>
          </w14:textFill>
        </w:rPr>
        <w:t>停止执业6个月以上2年以下，并处5千元以上5万元以下罚款；情节严重的，吊销资格证书。</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一百</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特种设备安全监督管理部门及其特种设备安全监察人员，有下列违法行为之一的，对直接负责的主管人员和其他直接责任人员，依法给予降级或者撤职的处分：</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（一）不按照本条例规定的条件和安全技术规范要求，实施许可、核准、登记的；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（二）发现未经许可、核准、登记擅自从事特种设备的生产、使用或者检验检测活动不予取缔或者不依法予以处理的；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发现特种设备生产、使用单位不再具备本条例规定的条件，或者发现特种设备生产、使用违法行为不予查处的；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发现特种设备检验检测机构不再具备本条例规定的条件，或者对其出具虚假的检验检测结果、鉴定结论或者检验检测结果、鉴定结论严重失实的行为不予查处的；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（五）对依照本条例规定在其他地方取得许可的特种设备生产单位重复进行许可，或者对依照本条例规定在其他地方检验检测合格的特种设备，重复进行检验检测的；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（六）发现有违反本条例和安全技术规范的行为或者在用的特种设备存在严重事故隐患，不立即处理的；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（七）发现重大的违法行为或者严重事故隐患，未及时向上级特种设备安全监督管理部门报告，或者接到报告的特种设备安全监督管理部门不立即处理的；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（八）迟报、漏报、瞒报或者谎报事故的；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（九）妨碍事故救援或者事故调查处理的。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一百零一</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特种设备生产、使用单位擅自动用、调换、转移、损毁被查封、扣押的特种设备或者其主要部件的，由特种设备安全监督管理部门责令改正，处5万元以上20万元以下罚款；情节严重的，撤销其相应资格。</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第一百</w:t>
      </w:r>
      <w:r>
        <w:rPr>
          <w:rFonts w:hint="eastAsia" w:ascii="仿宋_GB2312" w:hAnsi="仿宋_GB2312" w:eastAsia="黑体" w:cs="仿宋_GB2312"/>
          <w:b w:val="0"/>
          <w:bCs w:val="0"/>
          <w:color w:val="000000" w:themeColor="text1"/>
          <w:sz w:val="32"/>
          <w:szCs w:val="32"/>
          <w:u w:val="none"/>
          <w:shd w:val="clear" w:color="auto" w:fill="FFFFFF"/>
          <w:lang w:val="en-US" w:eastAsia="zh-CN"/>
          <w14:textFill>
            <w14:solidFill>
              <w14:schemeClr w14:val="tx1"/>
            </w14:solidFill>
          </w14:textFill>
        </w:rPr>
        <w:t>零二</w:t>
      </w:r>
      <w:r>
        <w:rPr>
          <w:rFonts w:hint="eastAsia" w:ascii="仿宋_GB2312" w:hAnsi="仿宋_GB2312" w:eastAsia="黑体" w:cs="仿宋_GB2312"/>
          <w:b w:val="0"/>
          <w:bCs w:val="0"/>
          <w:color w:val="000000" w:themeColor="text1"/>
          <w:sz w:val="32"/>
          <w:szCs w:val="32"/>
          <w:u w:val="none"/>
          <w:shd w:val="clear" w:color="auto" w:fill="FFFFFF"/>
          <w:lang w:eastAsia="zh-CN"/>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下列情形不构成行政执法过错行为，不应追究有关工作人员的行政执法责任：</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）因行政相对人隐瞒有关情况或者提供虚假材料导致作出错误判断，且已按规定履行审查职责的；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特种设备安全</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监督管理部门未接到举报或者由于客观原因未能发现的，但未按规定履行监督检查职责的除外；</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）按照年度监督检查等检查计划已经认真履行监督检查职责，或者虽尚未进行监督检查，但未超过法定或者规定时限，行政相对人违法的；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对发现的违法行为或者事故隐患已经依法查处、责令改正或者采取行政强制措施，因行政相对人拒不改正、逃避检查、擅自违法生产经营或者违法启用查封、扣押的设备设施等行为造成危害后果或者不良影响的；</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spacing w:line="594" w:lineRule="exact"/>
        <w:jc w:val="center"/>
        <w:textAlignment w:val="auto"/>
        <w:rPr>
          <w:rFonts w:hint="eastAsia" w:ascii="仿宋_GB2312" w:hAnsi="仿宋_GB2312" w:eastAsia="仿宋_GB2312" w:cs="仿宋_GB2312"/>
          <w:b w:val="0"/>
          <w:bCs w:val="0"/>
          <w:color w:val="000000" w:themeColor="text1"/>
          <w:sz w:val="36"/>
          <w:szCs w:val="36"/>
          <w:u w:val="none"/>
          <w:shd w:val="clear" w:color="auto" w:fill="FFFFFF"/>
          <w14:textFill>
            <w14:solidFill>
              <w14:schemeClr w14:val="tx1"/>
            </w14:solidFill>
          </w14:textFill>
        </w:rPr>
      </w:pP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第八章</w:t>
      </w:r>
      <w:r>
        <w:rPr>
          <w:rFonts w:hint="eastAsia" w:ascii="黑体" w:hAnsi="宋体" w:eastAsia="黑体" w:cs="黑体"/>
          <w:b w:val="0"/>
          <w:bCs w:val="0"/>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ascii="黑体" w:hAnsi="宋体" w:eastAsia="黑体" w:cs="黑体"/>
          <w:b w:val="0"/>
          <w:bCs w:val="0"/>
          <w:i w:val="0"/>
          <w:iCs w:val="0"/>
          <w:caps w:val="0"/>
          <w:color w:val="000000" w:themeColor="text1"/>
          <w:spacing w:val="0"/>
          <w:sz w:val="36"/>
          <w:szCs w:val="36"/>
          <w:shd w:val="clear" w:fill="FFFFFF"/>
          <w14:textFill>
            <w14:solidFill>
              <w14:schemeClr w14:val="tx1"/>
            </w14:solidFill>
          </w14:textFill>
        </w:rPr>
        <w:t>附则</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w:t>
      </w:r>
      <w:r>
        <w:rPr>
          <w:rFonts w:hint="eastAsia" w:ascii="仿宋_GB2312" w:hAnsi="仿宋_GB2312" w:eastAsia="黑体" w:cs="仿宋_GB2312"/>
          <w:b w:val="0"/>
          <w:bCs w:val="0"/>
          <w:strike w:val="0"/>
          <w:dstrike w:val="0"/>
          <w:color w:val="000000" w:themeColor="text1"/>
          <w:sz w:val="32"/>
          <w:szCs w:val="32"/>
          <w:shd w:val="clear" w:color="auto" w:fill="FFFFFF"/>
          <w:lang w:val="en-US" w:eastAsia="zh-CN"/>
          <w14:textFill>
            <w14:solidFill>
              <w14:schemeClr w14:val="tx1"/>
            </w14:solidFill>
          </w14:textFill>
        </w:rPr>
        <w:t>一百零三</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本条例下列用语的含义是：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压力容器，是指盛装气体或者液体，承载一定压力的密闭设备，其范围规定为最高工作压力大于或者等于0.1MPa（表压）的气体、液化气体和最高工作温度高于或者等于标准沸点的液体、</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容积大于或者等于30L且内直径(非圆形截面指截面内边界最大几何尺寸)大于或者等于150mm</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的固定式容器和移动式容器；盛装公称工作压力大于或者等于0.2MPa（表压），且压力与容积的乘积大于或者等于1.0MPa•L的气体、液化气体和标准沸点等于或者低于60℃液体的气瓶；氧舱。</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50</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mm的管道。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电梯，是指动力驱动，利用沿刚性导轨运行的箱体或者沿固定线路运行的梯级（踏步），进行升降或者平行运送人、货物的机电设备，包括载人（货）电梯、自动扶梯、自动人行道等。</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不包括</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非公共场所安装且仅供单一家庭使用的电梯</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起重机械，是指用于垂直升降或者垂直升降并水平移动重物的机电设备，其范围规定为额定起重量大于或者等于0.5t的升降机；</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额定起重量大于或者等于3t（或额定起重力矩大于或者等于40t·m的塔式起重机，或生产率大于或者等于300t/h的装卸桥），且提升高度大于或者等于2m的起重机；层数大于或者等于2层的机械式停车设备。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strike/>
          <w:dstrike w:val="0"/>
          <w:color w:val="000000" w:themeColor="text1"/>
          <w:sz w:val="32"/>
          <w:szCs w:val="32"/>
          <w:highlight w:val="yellow"/>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客运索道，是指动力驱动，利用柔性绳索牵引箱体等运载工具运送人员的机电设备，包括客运架空索道、客运缆车、客运拖牵索道等。</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大型游乐设施，是指用于经营目的，承载乘客游乐的设备设施，其设计最大运行线速度大于或者等于2m/s，或者运行高度高于或者等于2m的</w:t>
      </w:r>
      <w:r>
        <w:rPr>
          <w:rFonts w:hint="eastAsia" w:ascii="仿宋_GB2312" w:hAnsi="仿宋_GB2312" w:eastAsia="仿宋_GB2312" w:cs="仿宋_GB2312"/>
          <w:b w:val="0"/>
          <w:bCs w:val="0"/>
          <w:color w:val="000000" w:themeColor="text1"/>
          <w:sz w:val="32"/>
          <w:szCs w:val="32"/>
          <w:highlight w:val="none"/>
          <w:u w:val="none"/>
          <w:shd w:val="clear" w:color="auto" w:fill="FFFFFF"/>
          <w14:textFill>
            <w14:solidFill>
              <w14:schemeClr w14:val="tx1"/>
            </w14:solidFill>
          </w14:textFill>
        </w:rPr>
        <w:t xml:space="preserve">载人机电类游乐设备、水上游乐设施和无动力游乐设施。用于体育运动、文艺演出和非经营活动的设备设施除外。 </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场（厂）内专用机动车辆，是指除道路交通、农用车辆以外仅在工厂厂区、旅游景区、游乐场所等特定区域使用的专用机动车辆。</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不包括</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仅用于单位内部通勤、巡查等用途的非公路用旅游观光车辆</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特种设备包括其所用的材料、附属的安全附件、安全保护装置和与安全保护装置相关的设施。</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第一百零</w:t>
      </w:r>
      <w:r>
        <w:rPr>
          <w:rFonts w:hint="eastAsia" w:ascii="仿宋_GB2312" w:hAnsi="仿宋_GB2312" w:eastAsia="黑体" w:cs="仿宋_GB2312"/>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国务院特种设备安全监督管理部门可以授权省、自治区、直辖市特种设备安全监督管理部门负责本条例规定的特种设备行政许可工作，具体办法由国务院特种设备安全监督管理部门制定。</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上级市场监督管理部门可以将其法定职权范围内的行政许可，委托下级市场监督管理部门实施。</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第一百零</w:t>
      </w:r>
      <w:r>
        <w:rPr>
          <w:rFonts w:hint="eastAsia" w:ascii="仿宋_GB2312" w:hAnsi="仿宋_GB2312" w:eastAsia="黑体" w:cs="仿宋_GB2312"/>
          <w:b w:val="0"/>
          <w:bCs w:val="0"/>
          <w:color w:val="000000" w:themeColor="text1"/>
          <w:sz w:val="32"/>
          <w:szCs w:val="32"/>
          <w:u w:val="none"/>
          <w:shd w:val="clear" w:color="auto" w:fill="FFFFFF"/>
          <w:lang w:val="en-US" w:eastAsia="zh-CN"/>
          <w14:textFill>
            <w14:solidFill>
              <w14:schemeClr w14:val="tx1"/>
            </w14:solidFill>
          </w14:textFill>
        </w:rPr>
        <w:t>五</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 xml:space="preserve"> 特种设备</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检验</w:t>
      </w:r>
      <w:r>
        <w:rPr>
          <w:rFonts w:hint="eastAsia" w:ascii="仿宋_GB2312" w:hAnsi="仿宋_GB2312" w:eastAsia="仿宋_GB2312" w:cs="仿宋_GB2312"/>
          <w:b w:val="0"/>
          <w:bCs w:val="0"/>
          <w:color w:val="000000" w:themeColor="text1"/>
          <w:sz w:val="32"/>
          <w:szCs w:val="32"/>
          <w:u w:val="none"/>
          <w:shd w:val="clear" w:color="auto" w:fill="FFFFFF"/>
          <w:lang w:eastAsia="zh-CN"/>
          <w14:textFill>
            <w14:solidFill>
              <w14:schemeClr w14:val="tx1"/>
            </w14:solidFill>
          </w14:textFill>
        </w:rPr>
        <w:t>、检测、人员考试</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，应当按照国家有关规定收取费用。</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第一百零</w:t>
      </w:r>
      <w:r>
        <w:rPr>
          <w:rFonts w:hint="eastAsia" w:ascii="仿宋_GB2312" w:hAnsi="仿宋_GB2312" w:eastAsia="黑体" w:cs="仿宋_GB2312"/>
          <w:b w:val="0"/>
          <w:bCs w:val="0"/>
          <w:color w:val="000000" w:themeColor="text1"/>
          <w:sz w:val="32"/>
          <w:szCs w:val="32"/>
          <w:u w:val="none"/>
          <w:shd w:val="clear" w:color="auto" w:fill="FFFFFF"/>
          <w:lang w:val="en-US" w:eastAsia="zh-CN"/>
          <w14:textFill>
            <w14:solidFill>
              <w14:schemeClr w14:val="tx1"/>
            </w14:solidFill>
          </w14:textFill>
        </w:rPr>
        <w:t>六</w:t>
      </w:r>
      <w:r>
        <w:rPr>
          <w:rFonts w:hint="eastAsia" w:ascii="仿宋_GB2312" w:hAnsi="仿宋_GB2312" w:eastAsia="黑体" w:cs="仿宋_GB2312"/>
          <w:b w:val="0"/>
          <w:bCs w:val="0"/>
          <w:color w:val="000000" w:themeColor="text1"/>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本条例自</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XX</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X</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u w:val="none"/>
          <w:shd w:val="clear" w:color="auto" w:fill="FFFFFF"/>
          <w:lang w:val="en-US" w:eastAsia="zh-CN"/>
          <w14:textFill>
            <w14:solidFill>
              <w14:schemeClr w14:val="tx1"/>
            </w14:solidFill>
          </w14:textFill>
        </w:rPr>
        <w:t>X</w:t>
      </w:r>
      <w:r>
        <w:rPr>
          <w:rFonts w:hint="eastAsia" w:ascii="仿宋_GB2312" w:hAnsi="仿宋_GB2312" w:eastAsia="仿宋_GB2312" w:cs="仿宋_GB2312"/>
          <w:b w:val="0"/>
          <w:bCs w:val="0"/>
          <w:color w:val="000000" w:themeColor="text1"/>
          <w:sz w:val="32"/>
          <w:szCs w:val="32"/>
          <w:u w:val="none"/>
          <w:shd w:val="clear" w:color="auto" w:fill="FFFFFF"/>
          <w14:textFill>
            <w14:solidFill>
              <w14:schemeClr w14:val="tx1"/>
            </w14:solidFill>
          </w14:textFill>
        </w:rPr>
        <w:t>日起施行。</w:t>
      </w:r>
    </w:p>
    <w:bookmarkEnd w:id="0"/>
    <w:sectPr>
      <w:footerReference r:id="rId3" w:type="default"/>
      <w:pgSz w:w="11906" w:h="16838"/>
      <w:pgMar w:top="1984" w:right="1474" w:bottom="164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87623"/>
    <w:rsid w:val="0056087E"/>
    <w:rsid w:val="02255ED6"/>
    <w:rsid w:val="06F21E30"/>
    <w:rsid w:val="0AA502E7"/>
    <w:rsid w:val="0BAA7681"/>
    <w:rsid w:val="0E35766A"/>
    <w:rsid w:val="141D3A89"/>
    <w:rsid w:val="1A9E5F2C"/>
    <w:rsid w:val="1BB704FE"/>
    <w:rsid w:val="1DCE2287"/>
    <w:rsid w:val="21B046D6"/>
    <w:rsid w:val="22DC190D"/>
    <w:rsid w:val="255E0453"/>
    <w:rsid w:val="26A737C3"/>
    <w:rsid w:val="27A9541F"/>
    <w:rsid w:val="290A2131"/>
    <w:rsid w:val="2E887623"/>
    <w:rsid w:val="353276F7"/>
    <w:rsid w:val="37824E6A"/>
    <w:rsid w:val="3A4E30A3"/>
    <w:rsid w:val="3C1D3C6A"/>
    <w:rsid w:val="3CFE54CF"/>
    <w:rsid w:val="437F71DD"/>
    <w:rsid w:val="44374333"/>
    <w:rsid w:val="45B66AA9"/>
    <w:rsid w:val="497A6DC2"/>
    <w:rsid w:val="49BC3F91"/>
    <w:rsid w:val="51274E07"/>
    <w:rsid w:val="599A5AE7"/>
    <w:rsid w:val="5E1926D7"/>
    <w:rsid w:val="69465882"/>
    <w:rsid w:val="6D085372"/>
    <w:rsid w:val="70AE2AA4"/>
    <w:rsid w:val="729E03CA"/>
    <w:rsid w:val="7A1C709E"/>
    <w:rsid w:val="7C0A4E77"/>
    <w:rsid w:val="7CFA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2022-11-29T15:49:00Z</dcterms:created>
  <dc:creator>侯文焘</dc:creator>
  <cp:lastModifiedBy>侯文焘</cp:lastModifiedBy>
  <dcterms:modified xsi:type="dcterms:W3CDTF">2022-11-30T07:41:01Z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