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right="-143"/>
        <w:jc w:val="distribute"/>
        <w:rPr>
          <w:rFonts w:ascii="华文中宋" w:hAnsi="华文中宋" w:eastAsia="华文中宋" w:cs="宋体"/>
          <w:b/>
          <w:bCs/>
          <w:color w:val="000000"/>
          <w:w w:val="80"/>
          <w:sz w:val="44"/>
          <w:szCs w:val="44"/>
          <w:highlight w:val="none"/>
        </w:rPr>
      </w:pPr>
      <w:r>
        <w:rPr>
          <w:rFonts w:ascii="华文中宋" w:hAnsi="华文中宋" w:eastAsia="华文中宋"/>
          <w:b/>
          <w:color w:val="FF0000"/>
          <w:w w:val="80"/>
          <w:kern w:val="0"/>
          <w:sz w:val="100"/>
          <w:szCs w:val="100"/>
          <w:highlight w:val="none"/>
        </w:rPr>
        <w:t>山东省特</w:t>
      </w:r>
      <w:r>
        <w:rPr>
          <w:rFonts w:hint="eastAsia" w:ascii="华文中宋" w:hAnsi="华文中宋" w:eastAsia="华文中宋"/>
          <w:b/>
          <w:color w:val="FF0000"/>
          <w:w w:val="80"/>
          <w:kern w:val="0"/>
          <w:sz w:val="100"/>
          <w:szCs w:val="100"/>
          <w:highlight w:val="none"/>
        </w:rPr>
        <w:t>种设备协会</w:t>
      </w:r>
    </w:p>
    <w:p>
      <w:pPr>
        <w:spacing w:line="560" w:lineRule="exact"/>
        <w:jc w:val="center"/>
        <w:rPr>
          <w:rFonts w:hint="eastAsia" w:ascii="仿宋" w:hAnsi="仿宋" w:eastAsia="仿宋" w:cs="仿宋"/>
          <w:color w:val="333333"/>
          <w:kern w:val="0"/>
          <w:sz w:val="2"/>
          <w:szCs w:val="2"/>
          <w:highlight w:val="none"/>
          <w:lang w:val="en-US" w:eastAsia="zh-CN"/>
        </w:rPr>
      </w:pPr>
      <w:r>
        <w:rPr>
          <w:rFonts w:ascii="Calibri" w:hAnsi="Calibri" w:cs="Calibri"/>
          <w:sz w:val="2"/>
          <w:szCs w:val="2"/>
          <w:highlight w:val="none"/>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238125</wp:posOffset>
                </wp:positionV>
                <wp:extent cx="5503545" cy="9525"/>
                <wp:effectExtent l="0" t="13970" r="1905" b="14605"/>
                <wp:wrapNone/>
                <wp:docPr id="16"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03545" cy="9525"/>
                        </a:xfrm>
                        <a:prstGeom prst="line">
                          <a:avLst/>
                        </a:prstGeom>
                        <a:noFill/>
                        <a:ln w="28575">
                          <a:solidFill>
                            <a:srgbClr val="FF0000"/>
                          </a:solidFill>
                          <a:round/>
                        </a:ln>
                        <a:effectLst/>
                      </wps:spPr>
                      <wps:bodyPr/>
                    </wps:wsp>
                  </a:graphicData>
                </a:graphic>
              </wp:anchor>
            </w:drawing>
          </mc:Choice>
          <mc:Fallback>
            <w:pict>
              <v:line id="直接连接符 1" o:spid="_x0000_s1026" o:spt="20" style="position:absolute;left:0pt;margin-left:-2.4pt;margin-top:18.75pt;height:0.75pt;width:433.35pt;z-index:251659264;mso-width-relative:page;mso-height-relative:page;" filled="f" stroked="t" coordsize="21600,21600" o:gfxdata="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7hLjtgAAAAIAQAADwAAAAAAAAABACAAAAAiAAAAZHJzL2Rvd25yZXYueG1sUEsBAhQAFAAA&#10;AAgAh07iQIOL6ZXvAQAAvQMAAA4AAAAAAAAAAQAgAAAAJwEAAGRycy9lMm9Eb2MueG1sUEsFBgAA&#10;AAAGAAYAWQEAAIgFAAAAAA==&#10;">
                <v:fill on="f" focussize="0,0"/>
                <v:stroke weight="2.25pt" color="#FF0000" joinstyle="round"/>
                <v:imagedata o:title=""/>
                <o:lock v:ext="edit" aspectratio="f"/>
              </v:line>
            </w:pict>
          </mc:Fallback>
        </mc:AlternateContent>
      </w:r>
      <w:r>
        <w:rPr>
          <w:rFonts w:ascii="Calibri" w:hAnsi="Calibri" w:cs="Calibri"/>
          <w:sz w:val="2"/>
          <w:szCs w:val="2"/>
          <w:highlight w:val="none"/>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295275</wp:posOffset>
                </wp:positionV>
                <wp:extent cx="5503545" cy="0"/>
                <wp:effectExtent l="0" t="0" r="0" b="0"/>
                <wp:wrapNone/>
                <wp:docPr id="17"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line">
                          <a:avLst/>
                        </a:prstGeom>
                        <a:noFill/>
                        <a:ln w="12700">
                          <a:solidFill>
                            <a:srgbClr val="FF0000"/>
                          </a:solidFill>
                          <a:round/>
                        </a:ln>
                        <a:effectLst/>
                      </wps:spPr>
                      <wps:bodyPr/>
                    </wps:wsp>
                  </a:graphicData>
                </a:graphic>
              </wp:anchor>
            </w:drawing>
          </mc:Choice>
          <mc:Fallback>
            <w:pict>
              <v:line id="直接连接符 2" o:spid="_x0000_s1026" o:spt="20" style="position:absolute;left:0pt;margin-left:-2.4pt;margin-top:23.25pt;height:0pt;width:433.35pt;z-index:251660288;mso-width-relative:page;mso-height-relative:page;" filled="f" stroked="t" coordsize="21600,21600" o:gfxdata="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3h&#10;TpnWAAAACAEAAA8AAAAAAAAAAQAgAAAAIgAAAGRycy9kb3ducmV2LnhtbFBLAQIUABQAAAAIAIdO&#10;4kA320xF7AEAALoDAAAOAAAAAAAAAAEAIAAAACUBAABkcnMvZTJvRG9jLnhtbFBLBQYAAAAABgAG&#10;AFkBAACDBQ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color w:val="auto"/>
          <w:sz w:val="2"/>
          <w:szCs w:val="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color w:val="auto"/>
          <w:sz w:val="36"/>
          <w:szCs w:val="36"/>
          <w:highlight w:val="none"/>
          <w:lang w:val="en-US" w:eastAsia="zh-CN"/>
        </w:rPr>
      </w:pPr>
      <w:r>
        <w:rPr>
          <w:rFonts w:hint="eastAsia" w:ascii="华文中宋" w:hAnsi="华文中宋" w:eastAsia="华文中宋" w:cs="华文中宋"/>
          <w:color w:val="auto"/>
          <w:sz w:val="36"/>
          <w:szCs w:val="36"/>
          <w:highlight w:val="none"/>
        </w:rPr>
        <w:t>关于</w:t>
      </w:r>
      <w:r>
        <w:rPr>
          <w:rFonts w:hint="eastAsia" w:ascii="华文中宋" w:hAnsi="华文中宋" w:eastAsia="华文中宋" w:cs="华文中宋"/>
          <w:color w:val="auto"/>
          <w:sz w:val="36"/>
          <w:szCs w:val="36"/>
          <w:highlight w:val="none"/>
          <w:lang w:val="en-US" w:eastAsia="zh-CN"/>
        </w:rPr>
        <w:t>发布《</w:t>
      </w:r>
      <w:r>
        <w:rPr>
          <w:rFonts w:hint="eastAsia" w:ascii="华文中宋" w:hAnsi="华文中宋" w:eastAsia="华文中宋" w:cs="华文中宋"/>
          <w:color w:val="auto"/>
          <w:sz w:val="36"/>
          <w:szCs w:val="36"/>
          <w:highlight w:val="none"/>
        </w:rPr>
        <w:t>山东省特种设备协会科学技术奖奖励管理办法</w:t>
      </w:r>
      <w:r>
        <w:rPr>
          <w:rFonts w:hint="eastAsia" w:ascii="华文中宋" w:hAnsi="华文中宋" w:eastAsia="华文中宋" w:cs="华文中宋"/>
          <w:color w:val="auto"/>
          <w:sz w:val="36"/>
          <w:szCs w:val="36"/>
          <w:highlight w:val="none"/>
          <w:lang w:val="en-US" w:eastAsia="zh-CN"/>
        </w:rPr>
        <w:t>》的公告</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lang w:val="en-US" w:eastAsia="zh-CN"/>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各相关单位：</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加强特种设备安全与节能工作，预防特种设备事故，保障人身和财产安全，促进经济社会发展,奖励特种设备科学技术活动中做出突出贡献的单位和个人，山东省特种设备协会修订了《山东省特种设备协会科学技术奖奖励管理办法》，经山东省特种设备协会第五届二次会员代表大会审议通过，现予以公告</w:t>
      </w:r>
      <w:bookmarkStart w:id="1" w:name="_GoBack"/>
      <w:bookmarkEnd w:id="1"/>
      <w:r>
        <w:rPr>
          <w:rFonts w:hint="eastAsia" w:ascii="仿宋" w:hAnsi="仿宋" w:eastAsia="仿宋" w:cs="仿宋"/>
          <w:color w:val="auto"/>
          <w:sz w:val="32"/>
          <w:szCs w:val="32"/>
          <w:highlight w:val="none"/>
          <w:lang w:val="en-US" w:eastAsia="zh-CN"/>
        </w:rPr>
        <w:t>，自2024年1月13日起施行。</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default" w:ascii="仿宋" w:hAnsi="仿宋" w:eastAsia="仿宋" w:cs="仿宋"/>
          <w:sz w:val="32"/>
          <w:szCs w:val="32"/>
          <w:lang w:val="en-US" w:eastAsia="zh-CN"/>
        </w:rPr>
      </w:pPr>
    </w:p>
    <w:p>
      <w:pPr>
        <w:pStyle w:val="14"/>
        <w:ind w:left="0" w:leftChars="0" w:firstLine="0" w:firstLineChars="0"/>
        <w:rPr>
          <w:rFonts w:hint="eastAsia" w:ascii="仿宋" w:hAnsi="仿宋" w:eastAsia="仿宋" w:cs="仿宋"/>
          <w:color w:val="auto"/>
          <w:sz w:val="32"/>
          <w:szCs w:val="32"/>
          <w:highlight w:val="none"/>
          <w:lang w:eastAsia="zh-CN"/>
        </w:rPr>
      </w:pPr>
    </w:p>
    <w:p>
      <w:pPr>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highlight w:val="none"/>
        </w:rPr>
      </w:pPr>
      <w:r>
        <w:rPr>
          <w:rFonts w:hint="default" w:ascii="仿宋" w:hAnsi="仿宋" w:eastAsia="仿宋" w:cs="仿宋"/>
          <w:bCs/>
          <w:color w:val="auto"/>
          <w:kern w:val="2"/>
          <w:sz w:val="32"/>
          <w:szCs w:val="32"/>
          <w:highlight w:val="none"/>
          <w:lang w:val="en-US" w:eastAsia="zh-CN" w:bidi="ar-SA"/>
        </w:rPr>
        <w:drawing>
          <wp:anchor distT="0" distB="0" distL="114300" distR="114300" simplePos="0" relativeHeight="251661312" behindDoc="1" locked="0" layoutInCell="1" allowOverlap="1">
            <wp:simplePos x="0" y="0"/>
            <wp:positionH relativeFrom="column">
              <wp:posOffset>3613785</wp:posOffset>
            </wp:positionH>
            <wp:positionV relativeFrom="paragraph">
              <wp:posOffset>-430530</wp:posOffset>
            </wp:positionV>
            <wp:extent cx="1439545" cy="1439545"/>
            <wp:effectExtent l="0" t="0" r="8255" b="8255"/>
            <wp:wrapNone/>
            <wp:docPr id="3" name="图片 3" descr="F:\协会公章（2019年8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协会公章（2019年8月）.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9545" cy="1439545"/>
                    </a:xfrm>
                    <a:prstGeom prst="rect">
                      <a:avLst/>
                    </a:prstGeom>
                    <a:noFill/>
                    <a:ln>
                      <a:noFill/>
                    </a:ln>
                  </pic:spPr>
                </pic:pic>
              </a:graphicData>
            </a:graphic>
          </wp:anchor>
        </w:drawing>
      </w:r>
      <w:r>
        <w:rPr>
          <w:rFonts w:hint="eastAsia" w:ascii="仿宋" w:hAnsi="仿宋" w:eastAsia="仿宋" w:cs="仿宋"/>
          <w:color w:val="auto"/>
          <w:sz w:val="32"/>
          <w:szCs w:val="32"/>
          <w:highlight w:val="none"/>
        </w:rPr>
        <w:t>山东省特种设备协会</w:t>
      </w:r>
    </w:p>
    <w:p>
      <w:pPr>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highlight w:val="none"/>
          <w:lang w:val="en-US" w:eastAsia="zh-CN"/>
        </w:rPr>
        <w:t xml:space="preserve"> </w:t>
      </w:r>
    </w:p>
    <w:p>
      <w:pPr>
        <w:pStyle w:val="14"/>
        <w:wordWrap/>
        <w:rPr>
          <w:rFonts w:hint="eastAsia" w:ascii="仿宋" w:hAnsi="仿宋" w:eastAsia="仿宋" w:cs="仿宋"/>
          <w:color w:val="auto"/>
          <w:sz w:val="32"/>
          <w:szCs w:val="32"/>
          <w:highlight w:val="none"/>
          <w:lang w:val="en-US" w:eastAsia="zh-CN"/>
        </w:rPr>
      </w:pPr>
    </w:p>
    <w:p>
      <w:pPr>
        <w:pStyle w:val="14"/>
        <w:wordWrap/>
        <w:rPr>
          <w:rFonts w:hint="eastAsia" w:ascii="仿宋" w:hAnsi="仿宋" w:eastAsia="仿宋" w:cs="仿宋"/>
          <w:color w:val="auto"/>
          <w:sz w:val="32"/>
          <w:szCs w:val="32"/>
          <w:highlight w:val="none"/>
          <w:lang w:val="en-US" w:eastAsia="zh-CN"/>
        </w:rPr>
      </w:pPr>
    </w:p>
    <w:p>
      <w:pPr>
        <w:pStyle w:val="14"/>
        <w:wordWrap/>
        <w:rPr>
          <w:rFonts w:hint="eastAsia" w:ascii="仿宋" w:hAnsi="仿宋" w:eastAsia="仿宋" w:cs="仿宋"/>
          <w:color w:val="auto"/>
          <w:sz w:val="32"/>
          <w:szCs w:val="32"/>
          <w:highlight w:val="none"/>
          <w:lang w:val="en-US" w:eastAsia="zh-CN"/>
        </w:rPr>
      </w:pPr>
    </w:p>
    <w:p>
      <w:pPr>
        <w:pStyle w:val="14"/>
        <w:wordWrap/>
        <w:rPr>
          <w:rFonts w:hint="eastAsia" w:ascii="仿宋" w:hAnsi="仿宋" w:eastAsia="仿宋" w:cs="仿宋"/>
          <w:color w:val="auto"/>
          <w:sz w:val="32"/>
          <w:szCs w:val="32"/>
          <w:highlight w:val="none"/>
          <w:lang w:val="en-US" w:eastAsia="zh-CN"/>
        </w:rPr>
      </w:pPr>
    </w:p>
    <w:p>
      <w:pPr>
        <w:pStyle w:val="14"/>
        <w:wordWrap/>
        <w:rPr>
          <w:rFonts w:hint="eastAsia" w:ascii="仿宋" w:hAnsi="仿宋" w:eastAsia="仿宋" w:cs="仿宋"/>
          <w:color w:val="auto"/>
          <w:sz w:val="32"/>
          <w:szCs w:val="32"/>
          <w:highlight w:val="none"/>
          <w:lang w:val="en-US" w:eastAsia="zh-CN"/>
        </w:rPr>
      </w:pPr>
    </w:p>
    <w:p>
      <w:pPr>
        <w:spacing w:line="600" w:lineRule="exact"/>
        <w:jc w:val="center"/>
        <w:rPr>
          <w:rFonts w:hint="eastAsia" w:ascii="黑体" w:eastAsia="黑体"/>
          <w:color w:val="000000"/>
          <w:sz w:val="36"/>
          <w:szCs w:val="36"/>
        </w:rPr>
      </w:pPr>
    </w:p>
    <w:p>
      <w:pPr>
        <w:spacing w:line="600" w:lineRule="exact"/>
        <w:jc w:val="center"/>
        <w:rPr>
          <w:rFonts w:ascii="黑体" w:eastAsia="黑体"/>
          <w:color w:val="000000"/>
          <w:sz w:val="36"/>
          <w:szCs w:val="36"/>
        </w:rPr>
      </w:pPr>
      <w:r>
        <w:rPr>
          <w:rFonts w:hint="eastAsia" w:ascii="黑体" w:eastAsia="黑体"/>
          <w:color w:val="000000"/>
          <w:sz w:val="36"/>
          <w:szCs w:val="36"/>
        </w:rPr>
        <w:t>山东省特种设备协会科学技术奖奖励管理办法</w:t>
      </w:r>
    </w:p>
    <w:p>
      <w:pPr>
        <w:spacing w:before="156" w:beforeLines="50" w:after="156" w:afterLines="50" w:line="580" w:lineRule="exact"/>
        <w:jc w:val="center"/>
        <w:rPr>
          <w:rFonts w:hint="eastAsia" w:ascii="黑体" w:eastAsia="黑体"/>
          <w:color w:val="000000"/>
          <w:sz w:val="32"/>
          <w:szCs w:val="32"/>
        </w:rPr>
      </w:pP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第一章  总  则</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第一条  </w:t>
      </w:r>
      <w:r>
        <w:rPr>
          <w:rFonts w:hint="eastAsia" w:ascii="仿宋_GB2312" w:eastAsia="仿宋_GB2312"/>
          <w:color w:val="000000"/>
          <w:sz w:val="32"/>
          <w:szCs w:val="32"/>
        </w:rPr>
        <w:t>为了加强特种设备安全与节能工作，预防特种设备事故，保障人身和财产安全，促进经济社会发展,依据《中华人民共和国特种设备安全法》《中华人民共和国科学技术进步法》《国家功勋荣誉表彰条例》《国家科学技术奖励条例》和《科技部关于印发〈社会力量设立科学技术奖管理办法〉的通知》等有关法律法规和通知要求，奖励特种设备科学技术活动中做出突出贡献的单位和个人，特制定本办法。</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第二条</w:t>
      </w:r>
      <w:r>
        <w:rPr>
          <w:rFonts w:hint="eastAsia" w:ascii="仿宋_GB2312" w:eastAsia="仿宋_GB2312"/>
          <w:color w:val="000000"/>
          <w:sz w:val="32"/>
          <w:szCs w:val="32"/>
        </w:rPr>
        <w:t xml:space="preserve">  山东省特种设备协会科学技术奖由山东省特种设备协会设立并组织实施，</w:t>
      </w:r>
      <w:r>
        <w:rPr>
          <w:rFonts w:hint="eastAsia" w:ascii="仿宋_GB2312" w:hAnsi="仿宋_GB2312" w:eastAsia="仿宋_GB2312" w:cs="仿宋_GB2312"/>
          <w:color w:val="333333"/>
          <w:sz w:val="32"/>
          <w:szCs w:val="32"/>
          <w:shd w:val="clear" w:color="auto" w:fill="FFFFFF"/>
        </w:rPr>
        <w:t>奖励在基础研究、应用研究、技术开发以及推进科技成果转化应用等活动中为促进科学技术进步作出突出贡献的个人和组织。</w:t>
      </w:r>
      <w:r>
        <w:rPr>
          <w:rFonts w:hint="eastAsia" w:ascii="仿宋_GB2312" w:eastAsia="仿宋_GB2312"/>
          <w:color w:val="000000"/>
          <w:sz w:val="32"/>
          <w:szCs w:val="32"/>
        </w:rPr>
        <w:t>设立山东省特种设备协会科学技术奖励委员会(以下简称"奖励委员会")和山东省特种设备协会科学技术奖评审委员会(以下简称"评审委员会")。</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山东省特种设备协会科学技术奖分为科学技术发明奖、科学技术进步奖和推广应用成果奖（含管理科学类）。</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第三条</w:t>
      </w:r>
      <w:r>
        <w:rPr>
          <w:rFonts w:hint="eastAsia" w:ascii="仿宋_GB2312" w:eastAsia="仿宋_GB2312"/>
          <w:color w:val="000000"/>
          <w:sz w:val="32"/>
          <w:szCs w:val="32"/>
        </w:rPr>
        <w:t xml:space="preserve">  山东省特种设备协会科学技术奖的推荐、评审和奖励工作，</w:t>
      </w:r>
      <w:r>
        <w:rPr>
          <w:rFonts w:ascii="宋体" w:hAnsi="宋体" w:cs="宋体"/>
          <w:color w:val="000000"/>
          <w:sz w:val="24"/>
        </w:rPr>
        <w:t xml:space="preserve"> </w:t>
      </w:r>
      <w:r>
        <w:rPr>
          <w:rFonts w:hint="eastAsia" w:ascii="仿宋_GB2312" w:eastAsia="仿宋_GB2312"/>
          <w:color w:val="000000"/>
          <w:sz w:val="32"/>
          <w:szCs w:val="32"/>
        </w:rPr>
        <w:t>坚持公开、公平、公正的原则，建立科学、民主的评审程序，实行公开授奖制度。</w:t>
      </w:r>
    </w:p>
    <w:p>
      <w:pPr>
        <w:spacing w:line="580" w:lineRule="exact"/>
        <w:ind w:firstLine="640" w:firstLineChars="200"/>
        <w:rPr>
          <w:rFonts w:hint="eastAsia" w:ascii="仿宋_GB2312" w:eastAsia="仿宋_GB2312"/>
          <w:color w:val="000000"/>
          <w:sz w:val="32"/>
          <w:szCs w:val="32"/>
        </w:rPr>
      </w:pP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第二章  奖励范围和标准</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第四条</w:t>
      </w:r>
      <w:r>
        <w:rPr>
          <w:rFonts w:hint="eastAsia" w:ascii="仿宋_GB2312" w:eastAsia="仿宋_GB2312"/>
          <w:color w:val="000000"/>
          <w:sz w:val="32"/>
          <w:szCs w:val="32"/>
        </w:rPr>
        <w:t xml:space="preserve">  在特种设备安全与节能领域的科学技术研究、先进技术和管理方法的引进、推广工作中做出突出贡献的单位和个人，可申报山东省特种设备协会科学技术奖。</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第五条</w:t>
      </w:r>
      <w:r>
        <w:rPr>
          <w:rFonts w:hint="eastAsia" w:ascii="仿宋_GB2312" w:eastAsia="仿宋_GB2312"/>
          <w:color w:val="000000"/>
          <w:sz w:val="32"/>
          <w:szCs w:val="32"/>
        </w:rPr>
        <w:t xml:space="preserve">  申报山东省特种设备协会科学技术奖应当具备下列条件之一：</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（一）实施科学研究、技术开发和应用，完成重大科学技术创新、科学技术成果转化，创造显著经济效益和安全效益的项目；</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（二）在特种设备安全生产管理体制、政策法规、行业标准制定等管理科学方面提出创造性理论和方法的项目；</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（三）在特种设备的设计、制造、检验检测等领域采用新技术、新工艺、新方法、新材料、新理论等方面应用有创新性的项目；</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（四）在风险分级管控、重大危险源治理、隐患排查、事故预防和调查处理等活动中有突出贡献的项目；</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（五）在其它特种设备安全生产科学技术工作中取得显著成绩的项目。</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第六条  </w:t>
      </w:r>
      <w:r>
        <w:rPr>
          <w:rFonts w:hint="eastAsia" w:ascii="仿宋_GB2312" w:eastAsia="仿宋_GB2312"/>
          <w:color w:val="000000"/>
          <w:sz w:val="32"/>
          <w:szCs w:val="32"/>
        </w:rPr>
        <w:t>科学技术发明奖主要奖励运用科学技术知识做出技术发明的单位和个人。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前款所称技术发明，应当具备下列条件：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（一）取得发明专利；</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（二）实施后取得了显著经济效益、安全效益或者社会效益。</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第七条</w:t>
      </w:r>
      <w:r>
        <w:rPr>
          <w:rFonts w:hint="eastAsia" w:ascii="仿宋_GB2312" w:eastAsia="仿宋_GB2312"/>
          <w:color w:val="000000"/>
          <w:sz w:val="32"/>
          <w:szCs w:val="32"/>
        </w:rPr>
        <w:t xml:space="preserve">  科学技术进步奖主要奖励在特种设备领域有重大创新的科技成果项目的单位和个人。</w:t>
      </w:r>
    </w:p>
    <w:p>
      <w:pPr>
        <w:tabs>
          <w:tab w:val="left" w:pos="6840"/>
        </w:tabs>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第八条</w:t>
      </w:r>
      <w:r>
        <w:rPr>
          <w:rFonts w:hint="eastAsia" w:ascii="仿宋_GB2312" w:eastAsia="仿宋_GB2312"/>
          <w:color w:val="000000"/>
          <w:sz w:val="32"/>
          <w:szCs w:val="32"/>
        </w:rPr>
        <w:t xml:space="preserve">  推广应用成果奖（含管理科学类）主要奖励在特种设备安全生产领域对科技成果转化、推广应用、引进和吸收先进技术、先进管理方法等做出突出贡献的单位和个人。</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第九条</w:t>
      </w:r>
      <w:r>
        <w:rPr>
          <w:rFonts w:hint="eastAsia" w:ascii="仿宋_GB2312" w:eastAsia="仿宋_GB2312"/>
          <w:color w:val="000000"/>
          <w:sz w:val="32"/>
          <w:szCs w:val="32"/>
        </w:rPr>
        <w:t xml:space="preserve">  科学技术发明奖、科学技术进步奖和推广应用成果奖（含管理科学类），按成果水平、取得的社会效益、安全效益和经济效益综合评定。</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第十条 </w:t>
      </w:r>
      <w:r>
        <w:rPr>
          <w:rFonts w:hint="eastAsia" w:ascii="仿宋_GB2312" w:eastAsia="仿宋_GB2312"/>
          <w:color w:val="000000"/>
          <w:sz w:val="32"/>
          <w:szCs w:val="32"/>
        </w:rPr>
        <w:t xml:space="preserve"> 山东省特种设备协会科学技术奖每两年评审、奖励一次，设一、二、三等奖，限额奖励；获奖者颁发获奖证书和奖金，奖金总数额实行年度预算，每年奖励数量不超过5</w:t>
      </w:r>
      <w:r>
        <w:rPr>
          <w:rFonts w:ascii="仿宋_GB2312" w:eastAsia="仿宋_GB2312"/>
          <w:color w:val="000000"/>
          <w:sz w:val="32"/>
          <w:szCs w:val="32"/>
        </w:rPr>
        <w:t>0</w:t>
      </w:r>
      <w:r>
        <w:rPr>
          <w:rFonts w:hint="eastAsia" w:ascii="仿宋_GB2312" w:eastAsia="仿宋_GB2312"/>
          <w:color w:val="000000"/>
          <w:sz w:val="32"/>
          <w:szCs w:val="32"/>
        </w:rPr>
        <w:t>项。每项一等奖的获奖单位不超过5个；每项二等奖的获奖单位不超过15个；每项三等奖的获奖单位不超过30个。</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在年度评审时，对特别重大的科技成果，在该项目已取得一等奖的基础上，经评审委员会审定，可授予特等奖。特等奖获奖单位和人员限额，以及奖金数额由评审委员会推荐，奖励委员会决定。</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一等奖：成果有重大创新，技术难度大，总体技术水平、主要技术指标达到国内领先水平，对特种设备安全工作有重大推动作用；推广应用后，能够取得显著安全效益、经济效益和社会效益。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二等奖：成果有较大创新，技术难度较大，总体技术水平、主要技术指标达到国内先进水平，对特种设备安全工作有较大推动作用；推广应用后，能够取得较明显安全效益、经济效益和社会效益。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三等奖：成果有一定创新和技术难度，总体技术水平、主要技术指标达到省内领先水平；推广应用后，能够取得一定的安全效益、经济效益和社会效益。</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第三章  推荐申报</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第十一条</w:t>
      </w:r>
      <w:r>
        <w:rPr>
          <w:rFonts w:hint="eastAsia" w:ascii="仿宋_GB2312" w:eastAsia="仿宋_GB2312"/>
          <w:color w:val="000000"/>
          <w:sz w:val="32"/>
          <w:szCs w:val="32"/>
        </w:rPr>
        <w:t xml:space="preserve">  申报山东省特种设备协会科学技术奖的项目必须通过科技成果评价、鉴定或验收；应用成果须经过推广应用获得一定安全效益和经济效益，并持有效益证明。</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第十二条</w:t>
      </w:r>
      <w:r>
        <w:rPr>
          <w:rFonts w:hint="eastAsia" w:ascii="仿宋_GB2312" w:eastAsia="仿宋_GB2312"/>
          <w:color w:val="000000"/>
          <w:sz w:val="32"/>
          <w:szCs w:val="32"/>
        </w:rPr>
        <w:t xml:space="preserve">  申报途径与要求：</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山东省特种设备协会的会员单位申报的项目，可直接报送山东省特种设备协会；其他单位报送的项目，经2个或以上山东省特种设备协会的理事单位推荐，报送山东省特种设备协会秘书处。个人申报的项目需经所在单位确认并同意后按以上程序报送。</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（二）申报的单位或个人，经所在单位审查、签署意见、盖章后报送。</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（三）两个以上单位合作完成的项目，经协商后由第一完成单位组织申报。</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第十三条</w:t>
      </w:r>
      <w:r>
        <w:rPr>
          <w:rFonts w:hint="eastAsia" w:ascii="仿宋_GB2312" w:eastAsia="仿宋_GB2312"/>
          <w:color w:val="000000"/>
          <w:sz w:val="32"/>
          <w:szCs w:val="32"/>
        </w:rPr>
        <w:t xml:space="preserve">  申报山东省特种设备协会科学技术奖需提供以下材料：</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（一）《山东省特种设备协会科学技术奖申报书》；</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（二）项目评价、鉴定或验收材料；</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（三）技术研究报告、总结报告；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（四）检索查新报告；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（五）效益与应用证明；</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（六）必要的文件或证书（如《专利证书》、《特种设备使用证书》、《特种设备生产许可证》、相关标准等）。</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第十四条</w:t>
      </w:r>
      <w:r>
        <w:rPr>
          <w:rFonts w:hint="eastAsia" w:ascii="仿宋_GB2312" w:eastAsia="仿宋_GB2312"/>
          <w:color w:val="000000"/>
          <w:sz w:val="32"/>
          <w:szCs w:val="32"/>
        </w:rPr>
        <w:t xml:space="preserve">  下列情况之一的，不得申报：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（一）已获得国家、省级科技主管部门奖励的科技成果不得申报科学技术发明奖、科学技术进步奖（可申报推广应用成果奖）；</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（二）存在知识产权纠纷以及完成单位、完成人员等排序有争议的，不得申报山东省特种设备协会科学技术奖；</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（三）往届已经奖励的成果，不得重复申报。</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第四章  评审组织</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第十五条</w:t>
      </w:r>
      <w:r>
        <w:rPr>
          <w:rFonts w:hint="eastAsia" w:ascii="仿宋_GB2312" w:eastAsia="仿宋_GB2312"/>
          <w:color w:val="000000"/>
          <w:sz w:val="32"/>
          <w:szCs w:val="32"/>
        </w:rPr>
        <w:t xml:space="preserve">  奖励委员会是山东省特种设备协会科学技术奖的组织领导机构。评审委员会在奖励委员会的领导下负责山东省特种设备协会科学技术奖的评审工作。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（一）奖励委员会：本会理事长任主任委员，副主任委员、委员由有关专家组成。副主任委员、委员实行聘任制，每届任期3年。</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（二）评审委员会：设首席专家、委员。</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第十六条</w:t>
      </w:r>
      <w:r>
        <w:rPr>
          <w:rFonts w:hint="eastAsia" w:ascii="仿宋_GB2312" w:eastAsia="仿宋_GB2312"/>
          <w:color w:val="000000"/>
          <w:sz w:val="32"/>
          <w:szCs w:val="32"/>
        </w:rPr>
        <w:t xml:space="preserve">  奖励委员会的主要职责：</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（一）聘请有关专家组成评审委员会；</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（二）审定评审委员会的评审结果；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（三）提供与完善山东省特种设备协会科学技术奖励工作的政策性意见和建议；</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（四）对山东省特种设备协会科学技术奖评审有异议的项目进行调查处理；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（五）研究、解决山东省特种设备协会科学技术奖评审工作中出现的问题。</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第十七条  </w:t>
      </w:r>
      <w:r>
        <w:rPr>
          <w:rFonts w:hint="eastAsia" w:ascii="仿宋_GB2312" w:eastAsia="仿宋_GB2312"/>
          <w:color w:val="000000"/>
          <w:sz w:val="32"/>
          <w:szCs w:val="32"/>
        </w:rPr>
        <w:t>评审委员会的主要职责：</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（一）负责山东省特种设备协会科学技术奖的评审工作；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（二）向奖励委员会报告评审结果；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（三）对完善山东省特种设备协会科学技术奖励工作提供改进意见。</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第十八条</w:t>
      </w:r>
      <w:r>
        <w:rPr>
          <w:rFonts w:hint="eastAsia" w:ascii="仿宋_GB2312" w:eastAsia="仿宋_GB2312"/>
          <w:color w:val="000000"/>
          <w:sz w:val="32"/>
          <w:szCs w:val="32"/>
        </w:rPr>
        <w:t xml:space="preserve">  奖励委员会下设山东省特种设备协会科学技术奖励办公室（以下简称奖励办公室），主任由本会秘书长兼任。</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奖励办公室主要职责：</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（一）主持办事机构的日常工作，组织实施年度工作计划；</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（二）协调评审期间的工作；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（三）负责申报项目的形式审查工作。</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第十九条</w:t>
      </w:r>
      <w:r>
        <w:rPr>
          <w:rFonts w:hint="eastAsia" w:ascii="仿宋_GB2312" w:eastAsia="仿宋_GB2312"/>
          <w:color w:val="000000"/>
          <w:sz w:val="32"/>
          <w:szCs w:val="32"/>
        </w:rPr>
        <w:t xml:space="preserve">  奖励委员会和评审委员会的委员和相关工作人员应当对候选人和候选名单所完成项目的技术内容及评审情况严格保密，并实行回避制度。</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第五章  评审程序</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第二十条</w:t>
      </w:r>
      <w:r>
        <w:rPr>
          <w:rFonts w:hint="eastAsia" w:ascii="仿宋_GB2312" w:eastAsia="仿宋_GB2312"/>
          <w:color w:val="000000"/>
          <w:sz w:val="32"/>
          <w:szCs w:val="32"/>
        </w:rPr>
        <w:t xml:space="preserve">  山东省特种设备协会科学技术奖评审程序为：形式审查—评审委员会评审—公示—异议处理—奖励委员会审定—授奖。</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（一）形式审查：奖励办公室对申报项目逐项核实、审查，并按报奖专业予以分类；</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（二）评审委员会评审：形式审查合格的项目，由所属学科按照本《办法》有关标准与要求进行严格审评，采取适当形式推选出一、二、三等奖。对推荐为一、二、三等奖的项目应签署推荐理由；</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（三）公示：在协会网站及有关媒体上公告评审结果，接受公众监督；</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（四）异议处理：奖励委员会对公告异议期内有异议的项目进行处理；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（五）审定：由奖励委员会对评审结果进行审定； </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（六）授奖：经奖励委员会审定后即进行奖励，山东省特种设备协会向获奖单位和个人颁发奖励证书和奖金。</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第六章  异议处理</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第二十一条</w:t>
      </w:r>
      <w:r>
        <w:rPr>
          <w:rFonts w:hint="eastAsia" w:ascii="仿宋_GB2312" w:eastAsia="仿宋_GB2312"/>
          <w:color w:val="000000"/>
          <w:sz w:val="32"/>
          <w:szCs w:val="32"/>
        </w:rPr>
        <w:t xml:space="preserve">  拟授奖项目在有关媒体公告。对拟授奖项目如有异议，自公告之日起一个月内可向山东省特种设备协会提出。异议未得到处理前不授予奖励。过期提出异议，除属弄虚作假和剽窃成果或成果有原则性错误的异议外，不予受理。</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第二十二条</w:t>
      </w:r>
      <w:r>
        <w:rPr>
          <w:rFonts w:hint="eastAsia" w:ascii="仿宋_GB2312" w:eastAsia="仿宋_GB2312"/>
          <w:color w:val="000000"/>
          <w:sz w:val="32"/>
          <w:szCs w:val="32"/>
        </w:rPr>
        <w:t xml:space="preserve">  对获奖项目提出异议者，必须以书面形式写明项目名称、获奖等级以及自己的真实姓名、工作单位、联系地址。无署名的不予处理。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参加处理异议问题的单位和工作人员，要本着对国家和事业负责的态度，严肃认真、实事求是、秉公办理、严守机密。</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第七章  罚  则</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 xml:space="preserve">第二十三条 </w:t>
      </w:r>
      <w:r>
        <w:rPr>
          <w:rFonts w:hint="eastAsia" w:ascii="仿宋_GB2312" w:eastAsia="仿宋_GB2312"/>
          <w:color w:val="000000"/>
          <w:sz w:val="32"/>
          <w:szCs w:val="32"/>
        </w:rPr>
        <w:t xml:space="preserve"> 山东省特种设备协会科学技术奖的评审是一项严肃的工作，必须实事求是，严禁弄虚作假、徇私舞弊、剽窃他人成果，违者一经发现，由山东省特种设备协会撤销其奖励、追回证书。</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第二十四条</w:t>
      </w:r>
      <w:r>
        <w:rPr>
          <w:rFonts w:hint="eastAsia" w:ascii="仿宋_GB2312" w:eastAsia="仿宋_GB2312"/>
          <w:color w:val="000000"/>
          <w:sz w:val="32"/>
          <w:szCs w:val="32"/>
        </w:rPr>
        <w:t xml:space="preserve">  推荐单位和个人提供虚假数据、材料或协助他人骗取奖励的，由山东省特种设备协会取消其推荐资格。</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第八章  经  费</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第二十五条</w:t>
      </w:r>
      <w:r>
        <w:rPr>
          <w:rFonts w:hint="eastAsia" w:ascii="仿宋_GB2312" w:eastAsia="仿宋_GB2312"/>
          <w:color w:val="000000"/>
          <w:sz w:val="32"/>
          <w:szCs w:val="32"/>
        </w:rPr>
        <w:t xml:space="preserve">  经费来源</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申报本科学技术奖，不收取任何单位、个人的任何费用。所需经费来源：</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（一）国内外生产经营单位、团体或个人的资助捐赠；</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（二）在本会业务范围内开展活动或服务收入；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（三）协会会费；</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（四）其他合法收入。</w:t>
      </w:r>
    </w:p>
    <w:p>
      <w:pPr>
        <w:spacing w:line="580" w:lineRule="exact"/>
        <w:ind w:firstLine="640" w:firstLineChars="200"/>
        <w:rPr>
          <w:rFonts w:hint="eastAsia" w:ascii="仿宋_GB2312" w:eastAsia="仿宋_GB2312"/>
          <w:color w:val="000000"/>
          <w:sz w:val="32"/>
          <w:szCs w:val="32"/>
        </w:rPr>
      </w:pPr>
      <w:r>
        <w:rPr>
          <w:rFonts w:hint="eastAsia" w:ascii="黑体" w:eastAsia="黑体"/>
          <w:color w:val="000000"/>
          <w:sz w:val="32"/>
          <w:szCs w:val="32"/>
        </w:rPr>
        <w:t>第二十六条</w:t>
      </w:r>
      <w:r>
        <w:rPr>
          <w:rFonts w:hint="eastAsia" w:ascii="仿宋_GB2312" w:eastAsia="仿宋_GB2312"/>
          <w:color w:val="000000"/>
          <w:sz w:val="32"/>
          <w:szCs w:val="32"/>
        </w:rPr>
        <w:t xml:space="preserve">  经费管理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（一）评审经费应在本会账目中专项列支，保证经费用于评审活动；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（二）严格执行国家和省有关科技社团财务制度，接受财务、审计、税务等部门的监督；</w:t>
      </w:r>
    </w:p>
    <w:p>
      <w:pPr>
        <w:spacing w:before="156" w:beforeLines="50" w:after="156" w:afterLines="50" w:line="580" w:lineRule="exact"/>
        <w:jc w:val="center"/>
        <w:rPr>
          <w:rFonts w:hint="eastAsia" w:ascii="黑体" w:eastAsia="黑体"/>
          <w:color w:val="000000"/>
          <w:sz w:val="32"/>
          <w:szCs w:val="32"/>
        </w:rPr>
      </w:pPr>
      <w:r>
        <w:rPr>
          <w:rFonts w:hint="eastAsia" w:ascii="黑体" w:eastAsia="黑体"/>
          <w:color w:val="000000"/>
          <w:sz w:val="32"/>
          <w:szCs w:val="32"/>
        </w:rPr>
        <w:t>第九章  附  则</w:t>
      </w:r>
    </w:p>
    <w:p>
      <w:pPr>
        <w:spacing w:line="580" w:lineRule="exact"/>
        <w:ind w:firstLine="640" w:firstLineChars="200"/>
        <w:jc w:val="left"/>
        <w:rPr>
          <w:rFonts w:hint="eastAsia" w:ascii="仿宋_GB2312" w:eastAsia="仿宋_GB2312"/>
          <w:color w:val="000000"/>
          <w:sz w:val="32"/>
          <w:szCs w:val="32"/>
        </w:rPr>
      </w:pPr>
      <w:bookmarkStart w:id="0" w:name="_Hlk153196262"/>
      <w:r>
        <w:rPr>
          <w:rFonts w:hint="eastAsia" w:ascii="黑体" w:eastAsia="黑体"/>
          <w:color w:val="000000"/>
          <w:sz w:val="32"/>
          <w:szCs w:val="32"/>
        </w:rPr>
        <w:t>第二十七条</w:t>
      </w:r>
      <w:r>
        <w:rPr>
          <w:rFonts w:hint="eastAsia" w:ascii="仿宋_GB2312" w:eastAsia="仿宋_GB2312"/>
          <w:color w:val="000000"/>
          <w:sz w:val="32"/>
          <w:szCs w:val="32"/>
        </w:rPr>
        <w:t xml:space="preserve"> </w:t>
      </w:r>
      <w:bookmarkEnd w:id="0"/>
      <w:r>
        <w:rPr>
          <w:rFonts w:hint="eastAsia" w:ascii="仿宋_GB2312" w:eastAsia="仿宋_GB2312"/>
          <w:color w:val="000000"/>
          <w:sz w:val="32"/>
          <w:szCs w:val="32"/>
        </w:rPr>
        <w:t xml:space="preserve"> 山东省特种设备协会应当在每年3月31日前向科学技术行政部门报送上一年度社会科技奖活动开展情况。</w:t>
      </w:r>
    </w:p>
    <w:p>
      <w:pPr>
        <w:spacing w:line="580" w:lineRule="exact"/>
        <w:ind w:firstLine="640" w:firstLineChars="200"/>
        <w:jc w:val="left"/>
        <w:rPr>
          <w:rFonts w:hint="eastAsia" w:ascii="仿宋_GB2312" w:eastAsia="仿宋_GB2312"/>
          <w:color w:val="000000"/>
          <w:sz w:val="32"/>
          <w:szCs w:val="32"/>
        </w:rPr>
      </w:pPr>
      <w:r>
        <w:rPr>
          <w:rFonts w:hint="eastAsia" w:ascii="黑体" w:eastAsia="黑体"/>
          <w:color w:val="000000"/>
          <w:sz w:val="32"/>
          <w:szCs w:val="32"/>
        </w:rPr>
        <w:t xml:space="preserve">第二十八条 </w:t>
      </w:r>
      <w:r>
        <w:rPr>
          <w:rFonts w:ascii="黑体" w:eastAsia="黑体"/>
          <w:color w:val="000000"/>
          <w:sz w:val="32"/>
          <w:szCs w:val="32"/>
        </w:rPr>
        <w:t xml:space="preserve"> </w:t>
      </w:r>
      <w:r>
        <w:rPr>
          <w:rFonts w:hint="eastAsia" w:ascii="仿宋_GB2312" w:eastAsia="仿宋_GB2312"/>
          <w:color w:val="000000"/>
          <w:sz w:val="32"/>
          <w:szCs w:val="32"/>
        </w:rPr>
        <w:t>本办法自公布之日起施行。</w:t>
      </w:r>
    </w:p>
    <w:p>
      <w:pPr>
        <w:pStyle w:val="14"/>
        <w:wordWrap/>
        <w:rPr>
          <w:rFonts w:hint="eastAsia" w:ascii="仿宋" w:hAnsi="仿宋" w:eastAsia="仿宋" w:cs="仿宋"/>
          <w:color w:val="auto"/>
          <w:sz w:val="32"/>
          <w:szCs w:val="32"/>
          <w:highlight w:val="none"/>
          <w:lang w:val="en-US" w:eastAsia="zh-CN"/>
        </w:rPr>
      </w:pPr>
    </w:p>
    <w:sectPr>
      <w:pgSz w:w="11906" w:h="16838"/>
      <w:pgMar w:top="1213" w:right="1800" w:bottom="121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03F6E90"/>
    <w:rsid w:val="0000785C"/>
    <w:rsid w:val="000248AE"/>
    <w:rsid w:val="000570E2"/>
    <w:rsid w:val="00082717"/>
    <w:rsid w:val="000C1781"/>
    <w:rsid w:val="000D682F"/>
    <w:rsid w:val="000F773E"/>
    <w:rsid w:val="001060FE"/>
    <w:rsid w:val="0010675E"/>
    <w:rsid w:val="001126BE"/>
    <w:rsid w:val="00120286"/>
    <w:rsid w:val="001535EC"/>
    <w:rsid w:val="001772A0"/>
    <w:rsid w:val="0018162F"/>
    <w:rsid w:val="00195ED0"/>
    <w:rsid w:val="001B3790"/>
    <w:rsid w:val="00263E40"/>
    <w:rsid w:val="00267236"/>
    <w:rsid w:val="00283D78"/>
    <w:rsid w:val="002B6B25"/>
    <w:rsid w:val="00312132"/>
    <w:rsid w:val="00345988"/>
    <w:rsid w:val="003469A0"/>
    <w:rsid w:val="003649B2"/>
    <w:rsid w:val="003B5D1A"/>
    <w:rsid w:val="003F25F7"/>
    <w:rsid w:val="003F6E90"/>
    <w:rsid w:val="00405B24"/>
    <w:rsid w:val="004214E4"/>
    <w:rsid w:val="004277C9"/>
    <w:rsid w:val="00433EF2"/>
    <w:rsid w:val="00445D5C"/>
    <w:rsid w:val="004A444C"/>
    <w:rsid w:val="004B051A"/>
    <w:rsid w:val="004C4C52"/>
    <w:rsid w:val="0050152D"/>
    <w:rsid w:val="0050234C"/>
    <w:rsid w:val="0058454A"/>
    <w:rsid w:val="00634598"/>
    <w:rsid w:val="00657269"/>
    <w:rsid w:val="0066435B"/>
    <w:rsid w:val="006A4143"/>
    <w:rsid w:val="006A78C8"/>
    <w:rsid w:val="006B0BF2"/>
    <w:rsid w:val="006C283F"/>
    <w:rsid w:val="006C6BCA"/>
    <w:rsid w:val="006E3A86"/>
    <w:rsid w:val="00740EE0"/>
    <w:rsid w:val="00760FF6"/>
    <w:rsid w:val="007761CC"/>
    <w:rsid w:val="007849FC"/>
    <w:rsid w:val="007876BD"/>
    <w:rsid w:val="00792C4A"/>
    <w:rsid w:val="007A09C0"/>
    <w:rsid w:val="00813A83"/>
    <w:rsid w:val="00825197"/>
    <w:rsid w:val="008373AB"/>
    <w:rsid w:val="00864EBD"/>
    <w:rsid w:val="008942BA"/>
    <w:rsid w:val="008A2B53"/>
    <w:rsid w:val="00906013"/>
    <w:rsid w:val="009733D3"/>
    <w:rsid w:val="00A23D95"/>
    <w:rsid w:val="00A240E5"/>
    <w:rsid w:val="00A61C0C"/>
    <w:rsid w:val="00A915B1"/>
    <w:rsid w:val="00A95750"/>
    <w:rsid w:val="00A9669B"/>
    <w:rsid w:val="00AA18A2"/>
    <w:rsid w:val="00AB1E79"/>
    <w:rsid w:val="00AB387F"/>
    <w:rsid w:val="00B208DF"/>
    <w:rsid w:val="00B66FB9"/>
    <w:rsid w:val="00B878A6"/>
    <w:rsid w:val="00BB60B1"/>
    <w:rsid w:val="00BF6AF9"/>
    <w:rsid w:val="00C016AF"/>
    <w:rsid w:val="00C05648"/>
    <w:rsid w:val="00C24282"/>
    <w:rsid w:val="00C246DC"/>
    <w:rsid w:val="00C52776"/>
    <w:rsid w:val="00C56352"/>
    <w:rsid w:val="00C62264"/>
    <w:rsid w:val="00C643EB"/>
    <w:rsid w:val="00D46C0F"/>
    <w:rsid w:val="00DB084D"/>
    <w:rsid w:val="00DF21E4"/>
    <w:rsid w:val="00DF52F6"/>
    <w:rsid w:val="00DF66B2"/>
    <w:rsid w:val="00DF6F7B"/>
    <w:rsid w:val="00E75286"/>
    <w:rsid w:val="00E873E2"/>
    <w:rsid w:val="00EF027E"/>
    <w:rsid w:val="00EF56E4"/>
    <w:rsid w:val="00F40FC1"/>
    <w:rsid w:val="00F8605A"/>
    <w:rsid w:val="00FC1E78"/>
    <w:rsid w:val="02FE64A3"/>
    <w:rsid w:val="069B7B13"/>
    <w:rsid w:val="14D74503"/>
    <w:rsid w:val="231F281E"/>
    <w:rsid w:val="2A070FB7"/>
    <w:rsid w:val="2C632F6E"/>
    <w:rsid w:val="32A9729D"/>
    <w:rsid w:val="38BB18EB"/>
    <w:rsid w:val="3CD83367"/>
    <w:rsid w:val="3EBA43F3"/>
    <w:rsid w:val="42810E23"/>
    <w:rsid w:val="441655A2"/>
    <w:rsid w:val="44254E89"/>
    <w:rsid w:val="453832FF"/>
    <w:rsid w:val="47BD5AD9"/>
    <w:rsid w:val="4B2C0426"/>
    <w:rsid w:val="506D0747"/>
    <w:rsid w:val="56155B2F"/>
    <w:rsid w:val="5E482307"/>
    <w:rsid w:val="60761449"/>
    <w:rsid w:val="65847EF9"/>
    <w:rsid w:val="719C15B2"/>
    <w:rsid w:val="71FF7972"/>
    <w:rsid w:val="7587353E"/>
    <w:rsid w:val="7BD32074"/>
    <w:rsid w:val="7C705B15"/>
    <w:rsid w:val="7ED0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Lines="0" w:beforeAutospacing="0" w:afterLines="0" w:afterAutospacing="0" w:line="360" w:lineRule="auto"/>
      <w:jc w:val="center"/>
      <w:outlineLvl w:val="0"/>
    </w:pPr>
    <w:rPr>
      <w:rFonts w:ascii="仿宋_GB2312" w:hAnsi="仿宋_GB2312" w:eastAsia="微软雅黑"/>
      <w:b/>
      <w:kern w:val="44"/>
      <w:sz w:val="28"/>
      <w:szCs w:val="30"/>
    </w:rPr>
  </w:style>
  <w:style w:type="paragraph" w:styleId="3">
    <w:name w:val="heading 2"/>
    <w:basedOn w:val="1"/>
    <w:next w:val="1"/>
    <w:autoRedefine/>
    <w:qFormat/>
    <w:uiPriority w:val="0"/>
    <w:pPr>
      <w:keepNext/>
      <w:keepLines/>
      <w:spacing w:beforeLines="0" w:beforeAutospacing="0" w:afterLines="0" w:afterAutospacing="0" w:line="360" w:lineRule="auto"/>
      <w:ind w:firstLine="560" w:firstLineChars="200"/>
      <w:outlineLvl w:val="1"/>
    </w:pPr>
    <w:rPr>
      <w:rFonts w:ascii="Arial" w:hAnsi="Arial" w:eastAsia="黑体"/>
      <w:b/>
      <w:sz w:val="24"/>
    </w:rPr>
  </w:style>
  <w:style w:type="character" w:default="1" w:styleId="16">
    <w:name w:val="Default Paragraph Font"/>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1"/>
    <w:rPr>
      <w:rFonts w:ascii="仿宋" w:hAnsi="仿宋" w:eastAsia="仿宋" w:cs="仿宋"/>
      <w:sz w:val="30"/>
      <w:szCs w:val="30"/>
      <w:lang w:val="zh-CN" w:eastAsia="zh-CN" w:bidi="zh-CN"/>
    </w:rPr>
  </w:style>
  <w:style w:type="paragraph" w:styleId="7">
    <w:name w:val="Body Text Indent"/>
    <w:basedOn w:val="1"/>
    <w:next w:val="4"/>
    <w:autoRedefine/>
    <w:unhideWhenUsed/>
    <w:qFormat/>
    <w:uiPriority w:val="99"/>
    <w:pPr>
      <w:spacing w:after="120"/>
      <w:ind w:left="420" w:leftChars="200"/>
    </w:pPr>
  </w:style>
  <w:style w:type="paragraph" w:styleId="8">
    <w:name w:val="Plain Text"/>
    <w:basedOn w:val="1"/>
    <w:autoRedefine/>
    <w:qFormat/>
    <w:uiPriority w:val="0"/>
    <w:rPr>
      <w:rFonts w:ascii="宋体" w:hAnsi="Courier New"/>
    </w:rPr>
  </w:style>
  <w:style w:type="paragraph" w:styleId="9">
    <w:name w:val="Date"/>
    <w:basedOn w:val="1"/>
    <w:next w:val="1"/>
    <w:link w:val="26"/>
    <w:autoRedefine/>
    <w:semiHidden/>
    <w:unhideWhenUsed/>
    <w:qFormat/>
    <w:uiPriority w:val="99"/>
    <w:pPr>
      <w:ind w:left="100" w:leftChars="2500"/>
    </w:pPr>
  </w:style>
  <w:style w:type="paragraph" w:styleId="10">
    <w:name w:val="Balloon Text"/>
    <w:basedOn w:val="1"/>
    <w:link w:val="28"/>
    <w:autoRedefine/>
    <w:semiHidden/>
    <w:unhideWhenUsed/>
    <w:qFormat/>
    <w:uiPriority w:val="99"/>
    <w:rPr>
      <w:sz w:val="18"/>
      <w:szCs w:val="18"/>
    </w:rPr>
  </w:style>
  <w:style w:type="paragraph" w:styleId="11">
    <w:name w:val="footer"/>
    <w:basedOn w:val="1"/>
    <w:link w:val="25"/>
    <w:autoRedefine/>
    <w:unhideWhenUsed/>
    <w:qFormat/>
    <w:uiPriority w:val="99"/>
    <w:pPr>
      <w:tabs>
        <w:tab w:val="center" w:pos="4153"/>
        <w:tab w:val="right" w:pos="8306"/>
      </w:tabs>
      <w:snapToGrid w:val="0"/>
      <w:jc w:val="left"/>
    </w:pPr>
    <w:rPr>
      <w:sz w:val="18"/>
      <w:szCs w:val="18"/>
    </w:rPr>
  </w:style>
  <w:style w:type="paragraph" w:styleId="12">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unhideWhenUsed/>
    <w:qFormat/>
    <w:uiPriority w:val="99"/>
    <w:pPr>
      <w:spacing w:before="100" w:beforeAutospacing="1" w:after="100" w:afterAutospacing="1"/>
      <w:jc w:val="left"/>
    </w:pPr>
    <w:rPr>
      <w:rFonts w:ascii="Calibri" w:hAnsi="Calibri"/>
      <w:kern w:val="0"/>
      <w:sz w:val="24"/>
      <w:szCs w:val="20"/>
    </w:rPr>
  </w:style>
  <w:style w:type="paragraph" w:styleId="14">
    <w:name w:val="Body Text First Indent 2"/>
    <w:basedOn w:val="7"/>
    <w:autoRedefine/>
    <w:unhideWhenUsed/>
    <w:qFormat/>
    <w:uiPriority w:val="0"/>
    <w:pPr>
      <w:ind w:firstLine="420" w:firstLineChars="200"/>
    </w:pPr>
  </w:style>
  <w:style w:type="character" w:styleId="17">
    <w:name w:val="Strong"/>
    <w:basedOn w:val="16"/>
    <w:autoRedefine/>
    <w:qFormat/>
    <w:uiPriority w:val="22"/>
    <w:rPr>
      <w:b/>
      <w:color w:val="000000"/>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1D1D1D"/>
      <w:u w:val="none"/>
    </w:rPr>
  </w:style>
  <w:style w:type="character" w:styleId="20">
    <w:name w:val="Emphasis"/>
    <w:basedOn w:val="16"/>
    <w:autoRedefine/>
    <w:qFormat/>
    <w:uiPriority w:val="20"/>
  </w:style>
  <w:style w:type="character" w:styleId="21">
    <w:name w:val="HTML Typewriter"/>
    <w:basedOn w:val="16"/>
    <w:autoRedefine/>
    <w:semiHidden/>
    <w:unhideWhenUsed/>
    <w:qFormat/>
    <w:uiPriority w:val="99"/>
    <w:rPr>
      <w:b/>
      <w:bCs/>
      <w:color w:val="FFFFFF"/>
      <w:sz w:val="33"/>
      <w:szCs w:val="33"/>
      <w:shd w:val="clear" w:fill="EF4C4C"/>
    </w:rPr>
  </w:style>
  <w:style w:type="character" w:styleId="22">
    <w:name w:val="Hyperlink"/>
    <w:basedOn w:val="16"/>
    <w:autoRedefine/>
    <w:unhideWhenUsed/>
    <w:qFormat/>
    <w:uiPriority w:val="99"/>
    <w:rPr>
      <w:color w:val="0563C1" w:themeColor="hyperlink"/>
      <w:u w:val="single"/>
      <w14:textFill>
        <w14:solidFill>
          <w14:schemeClr w14:val="hlink"/>
        </w14:solidFill>
      </w14:textFill>
    </w:rPr>
  </w:style>
  <w:style w:type="character" w:styleId="23">
    <w:name w:val="annotation reference"/>
    <w:autoRedefine/>
    <w:qFormat/>
    <w:uiPriority w:val="0"/>
    <w:rPr>
      <w:sz w:val="21"/>
      <w:szCs w:val="21"/>
    </w:rPr>
  </w:style>
  <w:style w:type="character" w:customStyle="1" w:styleId="24">
    <w:name w:val="页眉 Char"/>
    <w:basedOn w:val="16"/>
    <w:link w:val="12"/>
    <w:autoRedefine/>
    <w:qFormat/>
    <w:uiPriority w:val="99"/>
    <w:rPr>
      <w:rFonts w:ascii="Times New Roman" w:hAnsi="Times New Roman" w:eastAsia="宋体" w:cs="Times New Roman"/>
      <w:sz w:val="18"/>
      <w:szCs w:val="18"/>
    </w:rPr>
  </w:style>
  <w:style w:type="character" w:customStyle="1" w:styleId="25">
    <w:name w:val="页脚 Char"/>
    <w:basedOn w:val="16"/>
    <w:link w:val="11"/>
    <w:autoRedefine/>
    <w:qFormat/>
    <w:uiPriority w:val="99"/>
    <w:rPr>
      <w:rFonts w:ascii="Times New Roman" w:hAnsi="Times New Roman" w:eastAsia="宋体" w:cs="Times New Roman"/>
      <w:sz w:val="18"/>
      <w:szCs w:val="18"/>
    </w:rPr>
  </w:style>
  <w:style w:type="character" w:customStyle="1" w:styleId="26">
    <w:name w:val="日期 Char"/>
    <w:basedOn w:val="16"/>
    <w:link w:val="9"/>
    <w:autoRedefine/>
    <w:semiHidden/>
    <w:qFormat/>
    <w:uiPriority w:val="99"/>
    <w:rPr>
      <w:rFonts w:ascii="Times New Roman" w:hAnsi="Times New Roman" w:eastAsia="宋体" w:cs="Times New Roman"/>
      <w:szCs w:val="24"/>
    </w:rPr>
  </w:style>
  <w:style w:type="character" w:customStyle="1" w:styleId="27">
    <w:name w:val="font21"/>
    <w:autoRedefine/>
    <w:qFormat/>
    <w:uiPriority w:val="0"/>
    <w:rPr>
      <w:rFonts w:hint="eastAsia" w:ascii="宋体" w:hAnsi="宋体" w:eastAsia="宋体" w:cs="宋体"/>
      <w:color w:val="000000"/>
      <w:sz w:val="30"/>
      <w:szCs w:val="30"/>
      <w:u w:val="none"/>
    </w:rPr>
  </w:style>
  <w:style w:type="character" w:customStyle="1" w:styleId="28">
    <w:name w:val="批注框文本 Char"/>
    <w:basedOn w:val="16"/>
    <w:link w:val="10"/>
    <w:autoRedefine/>
    <w:semiHidden/>
    <w:qFormat/>
    <w:uiPriority w:val="99"/>
    <w:rPr>
      <w:rFonts w:ascii="Times New Roman" w:hAnsi="Times New Roman" w:eastAsia="宋体" w:cs="Times New Roman"/>
      <w:kern w:val="2"/>
      <w:sz w:val="18"/>
      <w:szCs w:val="18"/>
    </w:rPr>
  </w:style>
  <w:style w:type="paragraph" w:customStyle="1" w:styleId="29">
    <w:name w:val="Table Paragraph"/>
    <w:basedOn w:val="1"/>
    <w:autoRedefine/>
    <w:qFormat/>
    <w:uiPriority w:val="1"/>
    <w:pPr>
      <w:spacing w:before="117"/>
      <w:ind w:left="107"/>
    </w:pPr>
    <w:rPr>
      <w:rFonts w:ascii="宋体" w:hAnsi="宋体" w:eastAsia="宋体" w:cs="宋体"/>
      <w:lang w:val="zh-CN" w:eastAsia="zh-CN" w:bidi="zh-CN"/>
    </w:rPr>
  </w:style>
  <w:style w:type="character" w:customStyle="1" w:styleId="30">
    <w:name w:val="en"/>
    <w:basedOn w:val="16"/>
    <w:autoRedefine/>
    <w:qFormat/>
    <w:uiPriority w:val="0"/>
    <w:rPr>
      <w:color w:val="BED0F1"/>
      <w:sz w:val="24"/>
      <w:szCs w:val="24"/>
    </w:rPr>
  </w:style>
  <w:style w:type="character" w:customStyle="1" w:styleId="31">
    <w:name w:val="xian"/>
    <w:basedOn w:val="16"/>
    <w:autoRedefine/>
    <w:qFormat/>
    <w:uiPriority w:val="0"/>
    <w:rPr>
      <w:shd w:val="clear" w:fill="ADCBF1"/>
    </w:rPr>
  </w:style>
  <w:style w:type="character" w:customStyle="1" w:styleId="32">
    <w:name w:val="xian1"/>
    <w:basedOn w:val="16"/>
    <w:autoRedefine/>
    <w:qFormat/>
    <w:uiPriority w:val="0"/>
  </w:style>
  <w:style w:type="character" w:customStyle="1" w:styleId="33">
    <w:name w:val="safe2"/>
    <w:basedOn w:val="16"/>
    <w:autoRedefine/>
    <w:qFormat/>
    <w:uiPriority w:val="0"/>
  </w:style>
  <w:style w:type="character" w:customStyle="1" w:styleId="34">
    <w:name w:val="safe1"/>
    <w:basedOn w:val="16"/>
    <w:autoRedefine/>
    <w:qFormat/>
    <w:uiPriority w:val="0"/>
  </w:style>
  <w:style w:type="character" w:customStyle="1" w:styleId="35">
    <w:name w:val="dian"/>
    <w:basedOn w:val="16"/>
    <w:autoRedefine/>
    <w:qFormat/>
    <w:uiPriority w:val="0"/>
    <w:rPr>
      <w:sz w:val="60"/>
      <w:szCs w:val="60"/>
    </w:rPr>
  </w:style>
  <w:style w:type="character" w:customStyle="1" w:styleId="36">
    <w:name w:val="dian1"/>
    <w:basedOn w:val="16"/>
    <w:autoRedefine/>
    <w:qFormat/>
    <w:uiPriority w:val="0"/>
    <w:rPr>
      <w:sz w:val="60"/>
      <w:szCs w:val="60"/>
    </w:rPr>
  </w:style>
  <w:style w:type="character" w:customStyle="1" w:styleId="37">
    <w:name w:val="exit"/>
    <w:basedOn w:val="16"/>
    <w:autoRedefine/>
    <w:qFormat/>
    <w:uiPriority w:val="0"/>
    <w:rPr>
      <w:shd w:val="clear" w:fill="43B0F5"/>
    </w:rPr>
  </w:style>
  <w:style w:type="character" w:customStyle="1" w:styleId="38">
    <w:name w:val="day"/>
    <w:basedOn w:val="16"/>
    <w:autoRedefine/>
    <w:qFormat/>
    <w:uiPriority w:val="0"/>
    <w:rPr>
      <w:b/>
      <w:bCs/>
      <w:color w:val="FFFFFF"/>
      <w:sz w:val="24"/>
      <w:szCs w:val="24"/>
      <w:shd w:val="clear" w:fill="2D7ADA"/>
    </w:rPr>
  </w:style>
  <w:style w:type="character" w:customStyle="1" w:styleId="39">
    <w:name w:val="safe"/>
    <w:basedOn w:val="16"/>
    <w:autoRedefine/>
    <w:qFormat/>
    <w:uiPriority w:val="0"/>
  </w:style>
  <w:style w:type="character" w:customStyle="1" w:styleId="40">
    <w:name w:val="safe3"/>
    <w:basedOn w:val="16"/>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488</Words>
  <Characters>546</Characters>
  <Lines>37</Lines>
  <Paragraphs>10</Paragraphs>
  <TotalTime>2</TotalTime>
  <ScaleCrop>false</ScaleCrop>
  <LinksUpToDate>false</LinksUpToDate>
  <CharactersWithSpaces>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2020-07-20T13:00:00Z</dcterms:created>
  <dc:creator>dell</dc:creator>
  <cp:lastModifiedBy>dong</cp:lastModifiedBy>
  <cp:lastPrinted>2020-07-23T02:53:00Z</cp:lastPrinted>
  <dcterms:modified xsi:type="dcterms:W3CDTF">2024-01-16T03:07:33Z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59FCA8C8541447B2B52CAB8F25D458D9_13</vt:lpwstr>
  </property>
</Properties>
</file>