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宋体" w:hAnsi="宋体"/>
          <w:kern w:val="0"/>
          <w:sz w:val="24"/>
        </w:rPr>
      </w:pPr>
      <w:r>
        <w:rPr>
          <w:rFonts w:hint="eastAsia" w:ascii="宋体" w:hAnsi="宋体"/>
          <w:kern w:val="0"/>
          <w:sz w:val="24"/>
        </w:rPr>
        <w:t xml:space="preserve">  </w:t>
      </w:r>
      <w:bookmarkStart w:id="0" w:name="SectionMark0"/>
    </w:p>
    <w:p>
      <w:pPr>
        <w:widowControl/>
        <w:spacing w:line="360" w:lineRule="auto"/>
        <w:rPr>
          <w:rFonts w:ascii="宋体" w:hAnsi="宋体"/>
          <w:kern w:val="0"/>
          <w:sz w:val="24"/>
        </w:rPr>
      </w:pPr>
    </w:p>
    <w:p>
      <w:pPr>
        <w:widowControl/>
        <w:spacing w:line="360" w:lineRule="auto"/>
        <w:rPr>
          <w:rFonts w:ascii="宋体" w:hAnsi="宋体"/>
          <w:kern w:val="0"/>
          <w:sz w:val="24"/>
        </w:rPr>
      </w:pPr>
      <w:r>
        <w:rPr>
          <w:rFonts w:ascii="宋体" w:hAnsi="宋体"/>
          <w:kern w:val="0"/>
          <w:sz w:val="24"/>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0"/>
                <wp:wrapNone/>
                <wp:docPr id="31"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56"/>
                              <w:rPr>
                                <w:b/>
                                <w:bCs/>
                                <w:sz w:val="24"/>
                                <w:szCs w:val="24"/>
                              </w:rPr>
                            </w:pPr>
                            <w:r>
                              <w:rPr>
                                <w:b/>
                                <w:bCs/>
                                <w:sz w:val="24"/>
                                <w:szCs w:val="24"/>
                              </w:rPr>
                              <w:t>ICS</w:t>
                            </w:r>
                          </w:p>
                          <w:p>
                            <w:pPr>
                              <w:pStyle w:val="56"/>
                              <w:rPr>
                                <w:b/>
                                <w:bCs/>
                                <w:sz w:val="24"/>
                                <w:szCs w:val="24"/>
                              </w:rPr>
                            </w:pPr>
                            <w:r>
                              <w:rPr>
                                <w:b/>
                                <w:bCs/>
                                <w:sz w:val="24"/>
                                <w:szCs w:val="24"/>
                              </w:rPr>
                              <w:t>CCS</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Xsy+DTAAAABQEAAA8AAAAAAAAAAQAgAAAA&#10;IgAAAGRycy9kb3ducmV2LnhtbFBLAQIUABQAAAAIAIdO4kBiNgeLEAIAACwEAAAOAAAAAAAAAAEA&#10;IAAAACIBAABkcnMvZTJvRG9jLnhtbFBLBQYAAAAABgAGAFkBAACkBQAAAAA=&#10;">
                <v:fill on="t" focussize="0,0"/>
                <v:stroke on="f"/>
                <v:imagedata o:title=""/>
                <o:lock v:ext="edit" aspectratio="f"/>
                <v:textbox inset="0mm,0mm,0mm,0mm">
                  <w:txbxContent>
                    <w:p>
                      <w:pPr>
                        <w:pStyle w:val="56"/>
                        <w:rPr>
                          <w:b/>
                          <w:bCs/>
                          <w:sz w:val="24"/>
                          <w:szCs w:val="24"/>
                        </w:rPr>
                      </w:pPr>
                      <w:r>
                        <w:rPr>
                          <w:b/>
                          <w:bCs/>
                          <w:sz w:val="24"/>
                          <w:szCs w:val="24"/>
                        </w:rPr>
                        <w:t>ICS</w:t>
                      </w:r>
                    </w:p>
                    <w:p>
                      <w:pPr>
                        <w:pStyle w:val="56"/>
                        <w:rPr>
                          <w:b/>
                          <w:bCs/>
                          <w:sz w:val="24"/>
                          <w:szCs w:val="24"/>
                        </w:rPr>
                      </w:pPr>
                      <w:r>
                        <w:rPr>
                          <w:b/>
                          <w:bCs/>
                          <w:sz w:val="24"/>
                          <w:szCs w:val="24"/>
                        </w:rPr>
                        <w:t>CCS</w:t>
                      </w:r>
                    </w:p>
                  </w:txbxContent>
                </v:textbox>
                <w10:anchorlock/>
              </v:shape>
            </w:pict>
          </mc:Fallback>
        </mc:AlternateContent>
      </w:r>
      <w:r>
        <w:rPr>
          <w:rFonts w:ascii="宋体" w:hAnsi="宋体"/>
          <w:kern w:val="0"/>
          <w:sz w:val="24"/>
        </w:rPr>
        <mc:AlternateContent>
          <mc:Choice Requires="wps">
            <w:drawing>
              <wp:anchor distT="0" distB="0" distL="114300" distR="114300" simplePos="0" relativeHeight="251661312" behindDoc="0" locked="1" layoutInCell="1" allowOverlap="1">
                <wp:simplePos x="0" y="0"/>
                <wp:positionH relativeFrom="margin">
                  <wp:posOffset>2171700</wp:posOffset>
                </wp:positionH>
                <wp:positionV relativeFrom="margin">
                  <wp:posOffset>0</wp:posOffset>
                </wp:positionV>
                <wp:extent cx="3175000" cy="720090"/>
                <wp:effectExtent l="0" t="0" r="0" b="0"/>
                <wp:wrapNone/>
                <wp:docPr id="15"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pPr>
                              <w:pStyle w:val="57"/>
                              <w:rPr>
                                <w:rFonts w:ascii="Arial" w:hAnsi="Arial" w:cs="Arial"/>
                                <w:sz w:val="72"/>
                                <w:szCs w:val="72"/>
                              </w:rPr>
                            </w:pPr>
                            <w:r>
                              <w:rPr>
                                <w:rFonts w:ascii="Arial" w:hAnsi="Arial" w:cs="Arial"/>
                                <w:sz w:val="72"/>
                                <w:szCs w:val="72"/>
                              </w:rPr>
                              <w:t>T/</w:t>
                            </w:r>
                            <w:r>
                              <w:rPr>
                                <w:rFonts w:hint="eastAsia" w:ascii="仿宋_GB2312" w:hAnsi="Arial" w:eastAsia="仿宋_GB2312" w:cs="Arial"/>
                                <w:sz w:val="72"/>
                                <w:szCs w:val="72"/>
                              </w:rPr>
                              <w:t>SASE</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171pt;margin-top:0pt;height:56.7pt;width:250pt;mso-position-horizontal-relative:margin;mso-position-vertical-relative:margin;z-index:251661312;mso-width-relative:page;mso-height-relative:page;" fillcolor="#FFFFFF" filled="t" stroked="f" coordsize="21600,21600" o:gfxdata="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R4wGdYAAAAIAQAADwAAAAAAAAABACAA&#10;AAAiAAAAZHJzL2Rvd25yZXYueG1sUEsBAhQAFAAAAAgAh07iQJ1KL5oPAgAALAQAAA4AAAAAAAAA&#10;AQAgAAAAJQEAAGRycy9lMm9Eb2MueG1sUEsFBgAAAAAGAAYAWQEAAKYFAAAAAA==&#10;">
                <v:fill on="t" focussize="0,0"/>
                <v:stroke on="f"/>
                <v:imagedata o:title=""/>
                <o:lock v:ext="edit" aspectratio="f"/>
                <v:textbox inset="0mm,0mm,0mm,0mm">
                  <w:txbxContent>
                    <w:p>
                      <w:pPr>
                        <w:pStyle w:val="57"/>
                        <w:rPr>
                          <w:rFonts w:ascii="Arial" w:hAnsi="Arial" w:cs="Arial"/>
                          <w:sz w:val="72"/>
                          <w:szCs w:val="72"/>
                        </w:rPr>
                      </w:pPr>
                      <w:r>
                        <w:rPr>
                          <w:rFonts w:ascii="Arial" w:hAnsi="Arial" w:cs="Arial"/>
                          <w:sz w:val="72"/>
                          <w:szCs w:val="72"/>
                        </w:rPr>
                        <w:t>T/</w:t>
                      </w:r>
                      <w:r>
                        <w:rPr>
                          <w:rFonts w:hint="eastAsia" w:ascii="仿宋_GB2312" w:hAnsi="Arial" w:eastAsia="仿宋_GB2312" w:cs="Arial"/>
                          <w:sz w:val="72"/>
                          <w:szCs w:val="72"/>
                        </w:rPr>
                        <w:t>SASE</w:t>
                      </w:r>
                    </w:p>
                  </w:txbxContent>
                </v:textbox>
                <w10:anchorlock/>
              </v:shape>
            </w:pict>
          </mc:Fallback>
        </mc:AlternateContent>
      </w:r>
      <w:r>
        <w:rPr>
          <w:rFonts w:ascii="宋体" w:hAnsi="宋体"/>
          <w:kern w:val="0"/>
          <w:sz w:val="24"/>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7330440</wp:posOffset>
                </wp:positionV>
                <wp:extent cx="5372100" cy="396240"/>
                <wp:effectExtent l="0" t="0" r="0" b="0"/>
                <wp:wrapNone/>
                <wp:docPr id="14" name="fmFrame5"/>
                <wp:cNvGraphicFramePr/>
                <a:graphic xmlns:a="http://schemas.openxmlformats.org/drawingml/2006/main">
                  <a:graphicData uri="http://schemas.microsoft.com/office/word/2010/wordprocessingShape">
                    <wps:wsp>
                      <wps:cNvSpPr txBox="1">
                        <a:spLocks noChangeArrowheads="1"/>
                      </wps:cNvSpPr>
                      <wps:spPr bwMode="auto">
                        <a:xfrm>
                          <a:off x="0" y="0"/>
                          <a:ext cx="5372100" cy="396240"/>
                        </a:xfrm>
                        <a:prstGeom prst="rect">
                          <a:avLst/>
                        </a:prstGeom>
                        <a:solidFill>
                          <a:srgbClr val="FFFFFF"/>
                        </a:solidFill>
                        <a:ln>
                          <a:noFill/>
                        </a:ln>
                      </wps:spPr>
                      <wps:txbx>
                        <w:txbxContent>
                          <w:p>
                            <w:pPr>
                              <w:pStyle w:val="60"/>
                              <w:ind w:firstLine="140" w:firstLineChars="50"/>
                              <w:jc w:val="both"/>
                            </w:pPr>
                            <w:r>
                              <w:t>2024-</w:t>
                            </w:r>
                            <w:r>
                              <w:rPr>
                                <w:rFonts w:hint="eastAsia"/>
                              </w:rPr>
                              <w:t>xx</w:t>
                            </w:r>
                            <w:r>
                              <w:t>-</w:t>
                            </w:r>
                            <w:r>
                              <w:rPr>
                                <w:rFonts w:hint="eastAsia"/>
                              </w:rPr>
                              <w:t xml:space="preserve">xx发布                              </w:t>
                            </w:r>
                            <w:r>
                              <w:t>2024-</w:t>
                            </w:r>
                            <w:r>
                              <w:rPr>
                                <w:rFonts w:hint="eastAsia"/>
                              </w:rPr>
                              <w:t>xx</w:t>
                            </w:r>
                            <w:r>
                              <w:t>-</w:t>
                            </w:r>
                            <w:r>
                              <w:rPr>
                                <w:rFonts w:hint="eastAsia"/>
                              </w:rPr>
                              <w:t>xx实施</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577.2pt;height:31.2pt;width:423pt;mso-position-horizontal-relative:margin;mso-position-vertical-relative:margin;z-index:251663360;mso-width-relative:page;mso-height-relative:page;" fillcolor="#FFFFFF" filled="t" stroked="f" coordsize="21600,21600" o:gfxdata="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PdMTt1wAAAAoBAAAPAAAAAAAAAAEA&#10;IAAAACIAAABkcnMvZG93bnJldi54bWxQSwECFAAUAAAACACHTuJAKHGe/xACAAAsBAAADgAAAAAA&#10;AAABACAAAAAmAQAAZHJzL2Uyb0RvYy54bWxQSwUGAAAAAAYABgBZAQAAqAUAAAAA&#10;">
                <v:fill on="t" focussize="0,0"/>
                <v:stroke on="f"/>
                <v:imagedata o:title=""/>
                <o:lock v:ext="edit" aspectratio="f"/>
                <v:textbox inset="0mm,0mm,0mm,0mm">
                  <w:txbxContent>
                    <w:p>
                      <w:pPr>
                        <w:pStyle w:val="60"/>
                        <w:ind w:firstLine="140" w:firstLineChars="50"/>
                        <w:jc w:val="both"/>
                      </w:pPr>
                      <w:r>
                        <w:t>2024-</w:t>
                      </w:r>
                      <w:r>
                        <w:rPr>
                          <w:rFonts w:hint="eastAsia"/>
                        </w:rPr>
                        <w:t>xx</w:t>
                      </w:r>
                      <w:r>
                        <w:t>-</w:t>
                      </w:r>
                      <w:r>
                        <w:rPr>
                          <w:rFonts w:hint="eastAsia"/>
                        </w:rPr>
                        <w:t xml:space="preserve">xx发布                              </w:t>
                      </w:r>
                      <w:r>
                        <w:t>2024-</w:t>
                      </w:r>
                      <w:r>
                        <w:rPr>
                          <w:rFonts w:hint="eastAsia"/>
                        </w:rPr>
                        <w:t>xx</w:t>
                      </w:r>
                      <w:r>
                        <w:t>-</w:t>
                      </w:r>
                      <w:r>
                        <w:rPr>
                          <w:rFonts w:hint="eastAsia"/>
                        </w:rPr>
                        <w:t>xx实施</w:t>
                      </w:r>
                    </w:p>
                  </w:txbxContent>
                </v:textbox>
                <w10:anchorlock/>
              </v:shape>
            </w:pict>
          </mc:Fallback>
        </mc:AlternateContent>
      </w:r>
      <w:r>
        <w:rPr>
          <w:rFonts w:ascii="宋体" w:hAnsi="宋体"/>
          <w:kern w:val="0"/>
          <w:sz w:val="24"/>
        </w:rPr>
        <mc:AlternateContent>
          <mc:Choice Requires="wps">
            <w:drawing>
              <wp:anchor distT="0" distB="0" distL="114300" distR="114300" simplePos="0" relativeHeight="251660288" behindDoc="0" locked="1" layoutInCell="1" allowOverlap="1">
                <wp:simplePos x="0" y="0"/>
                <wp:positionH relativeFrom="margin">
                  <wp:posOffset>1905</wp:posOffset>
                </wp:positionH>
                <wp:positionV relativeFrom="margin">
                  <wp:posOffset>851535</wp:posOffset>
                </wp:positionV>
                <wp:extent cx="5281295" cy="335280"/>
                <wp:effectExtent l="0" t="0" r="0" b="7620"/>
                <wp:wrapNone/>
                <wp:docPr id="13" name="fmFrame2"/>
                <wp:cNvGraphicFramePr/>
                <a:graphic xmlns:a="http://schemas.openxmlformats.org/drawingml/2006/main">
                  <a:graphicData uri="http://schemas.microsoft.com/office/word/2010/wordprocessingShape">
                    <wps:wsp>
                      <wps:cNvSpPr txBox="1">
                        <a:spLocks noChangeArrowheads="1"/>
                      </wps:cNvSpPr>
                      <wps:spPr bwMode="auto">
                        <a:xfrm>
                          <a:off x="0" y="0"/>
                          <a:ext cx="5281295" cy="335280"/>
                        </a:xfrm>
                        <a:prstGeom prst="rect">
                          <a:avLst/>
                        </a:prstGeom>
                        <a:solidFill>
                          <a:srgbClr val="FFFFFF"/>
                        </a:solidFill>
                        <a:ln>
                          <a:noFill/>
                        </a:ln>
                      </wps:spPr>
                      <wps:txbx>
                        <w:txbxContent>
                          <w:p>
                            <w:pPr>
                              <w:pStyle w:val="63"/>
                              <w:rPr>
                                <w:rFonts w:hAnsi="黑体"/>
                                <w:b/>
                                <w:sz w:val="48"/>
                                <w:szCs w:val="48"/>
                              </w:rPr>
                            </w:pPr>
                            <w:r>
                              <w:rPr>
                                <w:rFonts w:hint="eastAsia" w:hAnsi="黑体"/>
                                <w:b/>
                                <w:sz w:val="48"/>
                                <w:szCs w:val="48"/>
                              </w:rPr>
                              <w:t>山东省</w:t>
                            </w:r>
                            <w:r>
                              <w:rPr>
                                <w:rFonts w:hAnsi="黑体"/>
                                <w:b/>
                                <w:sz w:val="48"/>
                                <w:szCs w:val="48"/>
                              </w:rPr>
                              <w:t>特种设备协会</w:t>
                            </w:r>
                            <w:r>
                              <w:rPr>
                                <w:rFonts w:hint="eastAsia" w:hAnsi="黑体"/>
                                <w:b/>
                                <w:sz w:val="48"/>
                                <w:szCs w:val="48"/>
                              </w:rPr>
                              <w:t>团体标准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15pt;margin-top:67.05pt;height:26.4pt;width:415.85pt;mso-position-horizontal-relative:margin;mso-position-vertical-relative:margin;z-index:251660288;mso-width-relative:page;mso-height-relative:page;" fillcolor="#FFFFFF" filled="t" stroked="f" coordsize="21600,21600" o:gfxdata="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hWQcTXAAAACAEAAA8AAAAAAAAAAQAg&#10;AAAAIgAAAGRycy9kb3ducmV2LnhtbFBLAQIUABQAAAAIAIdO4kD3JR2aDwIAACwEAAAOAAAAAAAA&#10;AAEAIAAAACYBAABkcnMvZTJvRG9jLnhtbFBLBQYAAAAABgAGAFkBAACnBQAAAAA=&#10;">
                <v:fill on="t" focussize="0,0"/>
                <v:stroke on="f"/>
                <v:imagedata o:title=""/>
                <o:lock v:ext="edit" aspectratio="f"/>
                <v:textbox inset="0mm,0mm,0mm,0mm">
                  <w:txbxContent>
                    <w:p>
                      <w:pPr>
                        <w:pStyle w:val="63"/>
                        <w:rPr>
                          <w:rFonts w:hAnsi="黑体"/>
                          <w:b/>
                          <w:sz w:val="48"/>
                          <w:szCs w:val="48"/>
                        </w:rPr>
                      </w:pPr>
                      <w:r>
                        <w:rPr>
                          <w:rFonts w:hint="eastAsia" w:hAnsi="黑体"/>
                          <w:b/>
                          <w:sz w:val="48"/>
                          <w:szCs w:val="48"/>
                        </w:rPr>
                        <w:t>山东省</w:t>
                      </w:r>
                      <w:r>
                        <w:rPr>
                          <w:rFonts w:hAnsi="黑体"/>
                          <w:b/>
                          <w:sz w:val="48"/>
                          <w:szCs w:val="48"/>
                        </w:rPr>
                        <w:t>特种设备协会</w:t>
                      </w:r>
                      <w:r>
                        <w:rPr>
                          <w:rFonts w:hint="eastAsia" w:hAnsi="黑体"/>
                          <w:b/>
                          <w:sz w:val="48"/>
                          <w:szCs w:val="48"/>
                        </w:rPr>
                        <w:t>团体标准</w:t>
                      </w:r>
                    </w:p>
                  </w:txbxContent>
                </v:textbox>
                <w10:anchorlock/>
              </v:shape>
            </w:pict>
          </mc:Fallback>
        </mc:AlternateContent>
      </w:r>
      <w:r>
        <w:rPr>
          <w:rFonts w:ascii="宋体" w:hAnsi="宋体"/>
          <w:kern w:val="0"/>
          <w:sz w:val="24"/>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1386840</wp:posOffset>
                </wp:positionV>
                <wp:extent cx="5802630" cy="594360"/>
                <wp:effectExtent l="0" t="0" r="0" b="0"/>
                <wp:wrapNone/>
                <wp:docPr id="11"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594360"/>
                        </a:xfrm>
                        <a:prstGeom prst="rect">
                          <a:avLst/>
                        </a:prstGeom>
                        <a:solidFill>
                          <a:srgbClr val="FFFFFF"/>
                        </a:solidFill>
                        <a:ln>
                          <a:noFill/>
                        </a:ln>
                      </wps:spPr>
                      <wps:txbx>
                        <w:txbxContent>
                          <w:p>
                            <w:pPr>
                              <w:pStyle w:val="61"/>
                              <w:ind w:left="6785" w:leftChars="124" w:hanging="6525" w:hangingChars="1250"/>
                              <w:jc w:val="both"/>
                              <w:rPr>
                                <w:rFonts w:ascii="黑体" w:hAnsi="黑体" w:eastAsia="黑体"/>
                                <w:b/>
                                <w:bCs/>
                                <w:szCs w:val="28"/>
                              </w:rPr>
                            </w:pPr>
                            <w:r>
                              <w:rPr>
                                <w:b/>
                                <w:bCs/>
                                <w:sz w:val="52"/>
                              </w:rPr>
                              <w:t xml:space="preserve"> </w:t>
                            </w:r>
                            <w:r>
                              <w:rPr>
                                <w:b/>
                                <w:bCs/>
                              </w:rPr>
                              <w:t xml:space="preserve">                                       </w:t>
                            </w:r>
                            <w:r>
                              <w:rPr>
                                <w:rFonts w:ascii="黑体" w:hAnsi="黑体" w:eastAsia="黑体"/>
                                <w:b/>
                                <w:bCs/>
                                <w:szCs w:val="28"/>
                              </w:rPr>
                              <w:t>T/SACE XXXXX—2024</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09.2pt;height:46.8pt;width:456.9pt;mso-position-horizontal-relative:margin;mso-position-vertical-relative:margin;z-index:251662336;mso-width-relative:page;mso-height-relative:page;" fillcolor="#FFFFFF" filled="t" stroked="f" coordsize="21600,21600" o:gfxdata="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bMZ/t1wAAAAgBAAAPAAAAAAAAAAEA&#10;IAAAACIAAABkcnMvZG93bnJldi54bWxQSwECFAAUAAAACACHTuJA5I2k+xACAAAsBAAADgAAAAAA&#10;AAABACAAAAAmAQAAZHJzL2Uyb0RvYy54bWxQSwUGAAAAAAYABgBZAQAAqAUAAAAA&#10;">
                <v:fill on="t" focussize="0,0"/>
                <v:stroke on="f"/>
                <v:imagedata o:title=""/>
                <o:lock v:ext="edit" aspectratio="f"/>
                <v:textbox inset="0mm,0mm,0mm,0mm">
                  <w:txbxContent>
                    <w:p>
                      <w:pPr>
                        <w:pStyle w:val="61"/>
                        <w:ind w:left="6785" w:leftChars="124" w:hanging="6525" w:hangingChars="1250"/>
                        <w:jc w:val="both"/>
                        <w:rPr>
                          <w:rFonts w:ascii="黑体" w:hAnsi="黑体" w:eastAsia="黑体"/>
                          <w:b/>
                          <w:bCs/>
                          <w:szCs w:val="28"/>
                        </w:rPr>
                      </w:pPr>
                      <w:r>
                        <w:rPr>
                          <w:b/>
                          <w:bCs/>
                          <w:sz w:val="52"/>
                        </w:rPr>
                        <w:t xml:space="preserve"> </w:t>
                      </w:r>
                      <w:r>
                        <w:rPr>
                          <w:b/>
                          <w:bCs/>
                        </w:rPr>
                        <w:t xml:space="preserve">                                       </w:t>
                      </w:r>
                      <w:r>
                        <w:rPr>
                          <w:rFonts w:ascii="黑体" w:hAnsi="黑体" w:eastAsia="黑体"/>
                          <w:b/>
                          <w:bCs/>
                          <w:szCs w:val="28"/>
                        </w:rPr>
                        <w:t>T/SACE XXXXX—2024</w:t>
                      </w:r>
                    </w:p>
                  </w:txbxContent>
                </v:textbox>
                <w10:anchorlock/>
              </v:shape>
            </w:pict>
          </mc:Fallback>
        </mc:AlternateContent>
      </w:r>
      <w:r>
        <w:rPr>
          <w:rFonts w:ascii="宋体" w:hAnsi="宋体"/>
          <w:kern w:val="0"/>
          <w:sz w:val="24"/>
        </w:rPr>
        <mc:AlternateContent>
          <mc:Choice Requires="wps">
            <w:drawing>
              <wp:anchor distT="0" distB="0" distL="114300" distR="114300" simplePos="0" relativeHeight="251664384" behindDoc="0" locked="0" layoutInCell="1" allowOverlap="1">
                <wp:simplePos x="0" y="0"/>
                <wp:positionH relativeFrom="column">
                  <wp:posOffset>-182880</wp:posOffset>
                </wp:positionH>
                <wp:positionV relativeFrom="paragraph">
                  <wp:posOffset>1875790</wp:posOffset>
                </wp:positionV>
                <wp:extent cx="6121400" cy="0"/>
                <wp:effectExtent l="0" t="0" r="12700" b="0"/>
                <wp:wrapNone/>
                <wp:docPr id="10" name="Line 7"/>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Line 7" o:spid="_x0000_s1026" o:spt="20" style="position:absolute;left:0pt;margin-left:-14.4pt;margin-top:147.7pt;height:0pt;width:482pt;z-index:251664384;mso-width-relative:page;mso-height-relative:page;" filled="f" stroked="t" coordsize="21600,21600" o:gfxdata="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0xmZ9kAAAALAQAADwAAAAAAAAABACAAAAAiAAAAZHJzL2Rv&#10;d25yZXYueG1sUEsBAhQAFAAAAAgAh07iQEfzvETHAQAAoQMAAA4AAAAAAAAAAQAgAAAAKAEAAGRy&#10;cy9lMm9Eb2MueG1sUEsFBgAAAAAGAAYAWQEAAGEFAAAAAA==&#10;">
                <v:fill on="f" focussize="0,0"/>
                <v:stroke weight="1pt" color="#FFFFFF" joinstyle="round"/>
                <v:imagedata o:title=""/>
                <o:lock v:ext="edit" aspectratio="f"/>
              </v:line>
            </w:pict>
          </mc:Fallback>
        </mc:AlternateContent>
      </w:r>
      <w:bookmarkEnd w:id="0"/>
    </w:p>
    <w:p>
      <w:pPr>
        <w:spacing w:before="240" w:beforeLines="100" w:after="240" w:afterLines="100" w:line="360" w:lineRule="auto"/>
        <w:rPr>
          <w:rFonts w:ascii="宋体" w:hAnsi="宋体"/>
          <w:b/>
          <w:bCs/>
          <w:sz w:val="24"/>
        </w:rPr>
      </w:pPr>
    </w:p>
    <w:p>
      <w:pPr>
        <w:widowControl/>
        <w:spacing w:line="360" w:lineRule="auto"/>
        <w:jc w:val="center"/>
        <w:rPr>
          <w:rFonts w:ascii="宋体" w:hAnsi="宋体" w:cs="宋体"/>
          <w:kern w:val="0"/>
          <w:sz w:val="24"/>
        </w:rPr>
      </w:pPr>
      <w:r>
        <w:rPr>
          <w:rFonts w:hint="eastAsia" w:ascii="宋体" w:hAnsi="宋体" w:cs="宋体"/>
          <w:kern w:val="0"/>
          <w:sz w:val="24"/>
        </w:rPr>
        <w:t>______________________________</w:t>
      </w:r>
      <w:r>
        <w:rPr>
          <w:rFonts w:hint="eastAsia" w:ascii="宋体" w:hAnsi="宋体" w:cs="宋体"/>
          <w:kern w:val="0"/>
          <w:sz w:val="24"/>
          <w:u w:val="single"/>
        </w:rPr>
        <w:t>____   _____</w:t>
      </w:r>
      <w:r>
        <w:rPr>
          <w:rFonts w:hint="eastAsia" w:ascii="宋体" w:hAnsi="宋体" w:cs="宋体"/>
          <w:kern w:val="0"/>
          <w:sz w:val="24"/>
        </w:rPr>
        <w:t>__________________</w:t>
      </w:r>
      <w:r>
        <w:rPr>
          <w:rFonts w:hint="eastAsia" w:ascii="宋体" w:hAnsi="宋体" w:cs="宋体"/>
          <w:kern w:val="0"/>
          <w:sz w:val="24"/>
          <w:u w:val="single"/>
        </w:rPr>
        <w:t xml:space="preserve">        </w:t>
      </w:r>
      <w:r>
        <w:rPr>
          <w:rFonts w:hint="eastAsia" w:ascii="宋体" w:hAnsi="宋体" w:cs="宋体"/>
          <w:kern w:val="0"/>
          <w:sz w:val="24"/>
        </w:rPr>
        <w:t>_</w:t>
      </w:r>
    </w:p>
    <w:p>
      <w:pPr>
        <w:spacing w:line="360" w:lineRule="auto"/>
        <w:rPr>
          <w:rFonts w:ascii="宋体" w:hAnsi="宋体"/>
          <w:b/>
          <w:bCs/>
          <w:sz w:val="24"/>
          <w:u w:val="single"/>
        </w:rPr>
      </w:pPr>
      <w:r>
        <w:rPr>
          <w:rFonts w:hint="eastAsia" w:ascii="宋体" w:hAnsi="宋体"/>
          <w:b/>
          <w:bCs/>
          <w:sz w:val="24"/>
          <w:u w:val="single"/>
        </w:rPr>
        <mc:AlternateContent>
          <mc:Choice Requires="wps">
            <w:drawing>
              <wp:anchor distT="0" distB="0" distL="114300" distR="114300" simplePos="0" relativeHeight="251667456" behindDoc="0" locked="0" layoutInCell="1" allowOverlap="1">
                <wp:simplePos x="0" y="0"/>
                <wp:positionH relativeFrom="column">
                  <wp:posOffset>-182880</wp:posOffset>
                </wp:positionH>
                <wp:positionV relativeFrom="paragraph">
                  <wp:posOffset>189865</wp:posOffset>
                </wp:positionV>
                <wp:extent cx="5556885" cy="4445"/>
                <wp:effectExtent l="0" t="0" r="24765" b="34290"/>
                <wp:wrapNone/>
                <wp:docPr id="2" name="直接连接符 2"/>
                <wp:cNvGraphicFramePr/>
                <a:graphic xmlns:a="http://schemas.openxmlformats.org/drawingml/2006/main">
                  <a:graphicData uri="http://schemas.microsoft.com/office/word/2010/wordprocessingShape">
                    <wps:wsp>
                      <wps:cNvCnPr/>
                      <wps:spPr>
                        <a:xfrm flipV="1">
                          <a:off x="0" y="0"/>
                          <a:ext cx="5557157" cy="43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4.4pt;margin-top:14.95pt;height:0.35pt;width:437.55pt;z-index:251667456;mso-width-relative:page;mso-height-relative:page;" filled="f" stroked="t" coordsize="21600,21600" o:gfxdata="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kq1ty1wAAAAkB&#10;AAAPAAAAAAAAAAEAIAAAACIAAABkcnMvZG93bnJldi54bWxQSwECFAAUAAAACACHTuJA4rcqIOMB&#10;AACnAwAADgAAAAAAAAABACAAAAAmAQAAZHJzL2Uyb0RvYy54bWxQSwUGAAAAAAYABgBZAQAAewUA&#10;AAAA&#10;">
                <v:fill on="f" focussize="0,0"/>
                <v:stroke color="#000000 [3213]" joinstyle="round"/>
                <v:imagedata o:title=""/>
                <o:lock v:ext="edit" aspectratio="f"/>
              </v:line>
            </w:pict>
          </mc:Fallback>
        </mc:AlternateContent>
      </w:r>
      <w:r>
        <w:rPr>
          <w:rFonts w:hint="eastAsia" w:ascii="宋体" w:hAnsi="宋体"/>
          <w:b/>
          <w:bCs/>
          <w:sz w:val="24"/>
          <w:u w:val="single"/>
        </w:rPr>
        <w:t xml:space="preserve">                                                                     </w:t>
      </w:r>
    </w:p>
    <w:p>
      <w:pPr>
        <w:spacing w:line="360" w:lineRule="auto"/>
        <w:rPr>
          <w:rFonts w:ascii="宋体" w:hAnsi="宋体"/>
          <w:b/>
          <w:bCs/>
          <w:sz w:val="24"/>
        </w:rPr>
      </w:pPr>
    </w:p>
    <w:p>
      <w:pPr>
        <w:spacing w:line="360" w:lineRule="auto"/>
        <w:rPr>
          <w:rFonts w:ascii="宋体" w:hAnsi="宋体"/>
          <w:b/>
          <w:bCs/>
          <w:sz w:val="24"/>
        </w:rPr>
      </w:pPr>
    </w:p>
    <w:p>
      <w:pPr>
        <w:spacing w:line="360" w:lineRule="auto"/>
        <w:jc w:val="center"/>
        <w:rPr>
          <w:rFonts w:ascii="黑体" w:hAnsi="黑体" w:eastAsia="黑体"/>
          <w:bCs/>
          <w:sz w:val="52"/>
          <w:szCs w:val="52"/>
        </w:rPr>
      </w:pPr>
      <w:r>
        <w:rPr>
          <w:rFonts w:hint="eastAsia" w:ascii="黑体" w:hAnsi="黑体" w:eastAsia="黑体"/>
          <w:bCs/>
          <w:sz w:val="52"/>
          <w:szCs w:val="52"/>
        </w:rPr>
        <w:t>全容式LNG储罐内罐9%Ni钢</w:t>
      </w:r>
    </w:p>
    <w:p>
      <w:pPr>
        <w:spacing w:line="360" w:lineRule="auto"/>
        <w:jc w:val="center"/>
        <w:rPr>
          <w:rFonts w:ascii="黑体" w:hAnsi="黑体" w:eastAsia="黑体"/>
          <w:bCs/>
          <w:sz w:val="52"/>
          <w:szCs w:val="52"/>
        </w:rPr>
      </w:pPr>
      <w:r>
        <w:rPr>
          <w:rFonts w:hint="eastAsia" w:ascii="黑体" w:hAnsi="黑体" w:eastAsia="黑体"/>
          <w:bCs/>
          <w:sz w:val="52"/>
          <w:szCs w:val="52"/>
        </w:rPr>
        <w:t>埋弧焊技术规程</w:t>
      </w:r>
    </w:p>
    <w:p>
      <w:pPr>
        <w:spacing w:line="360" w:lineRule="auto"/>
        <w:ind w:left="176" w:leftChars="84"/>
        <w:jc w:val="center"/>
        <w:rPr>
          <w:bCs/>
          <w:sz w:val="36"/>
          <w:szCs w:val="36"/>
        </w:rPr>
      </w:pPr>
      <w:r>
        <w:rPr>
          <w:bCs/>
          <w:sz w:val="36"/>
          <w:szCs w:val="36"/>
        </w:rPr>
        <w:t xml:space="preserve">Welding Procedure for </w:t>
      </w:r>
      <w:r>
        <w:rPr>
          <w:rFonts w:hint="eastAsia"/>
          <w:bCs/>
          <w:sz w:val="36"/>
          <w:szCs w:val="36"/>
        </w:rPr>
        <w:t>Submerged Arc Welding</w:t>
      </w:r>
      <w:r>
        <w:rPr>
          <w:bCs/>
          <w:sz w:val="36"/>
          <w:szCs w:val="36"/>
        </w:rPr>
        <w:t xml:space="preserve"> of </w:t>
      </w:r>
      <w:r>
        <w:rPr>
          <w:rFonts w:hint="eastAsia"/>
          <w:bCs/>
          <w:sz w:val="36"/>
          <w:szCs w:val="36"/>
        </w:rPr>
        <w:t xml:space="preserve">9%Ni </w:t>
      </w:r>
      <w:r>
        <w:rPr>
          <w:bCs/>
          <w:sz w:val="36"/>
          <w:szCs w:val="36"/>
        </w:rPr>
        <w:t xml:space="preserve">steel for LNG </w:t>
      </w:r>
      <w:r>
        <w:rPr>
          <w:rFonts w:hint="eastAsia"/>
          <w:bCs/>
          <w:sz w:val="36"/>
          <w:szCs w:val="36"/>
        </w:rPr>
        <w:t>full containment inner tank</w:t>
      </w:r>
    </w:p>
    <w:p>
      <w:pPr>
        <w:spacing w:line="360" w:lineRule="auto"/>
        <w:jc w:val="center"/>
        <w:rPr>
          <w:rFonts w:hint="default" w:ascii="宋体" w:hAnsi="宋体" w:eastAsia="宋体"/>
          <w:sz w:val="24"/>
          <w:szCs w:val="24"/>
          <w:lang w:val="en-US" w:eastAsia="zh-CN"/>
        </w:rPr>
      </w:pPr>
      <w:bookmarkStart w:id="54" w:name="_GoBack"/>
      <w:r>
        <w:rPr>
          <w:rFonts w:hint="eastAsia" w:ascii="宋体" w:hAnsi="宋体"/>
          <w:sz w:val="24"/>
          <w:szCs w:val="24"/>
          <w:lang w:val="en-US" w:eastAsia="zh-CN"/>
        </w:rPr>
        <w:t>(征求意见稿)</w:t>
      </w:r>
    </w:p>
    <w:bookmarkEnd w:id="54"/>
    <w:p>
      <w:pPr>
        <w:spacing w:line="360" w:lineRule="auto"/>
        <w:jc w:val="left"/>
        <w:rPr>
          <w:rFonts w:ascii="宋体" w:hAnsi="宋体"/>
          <w:sz w:val="24"/>
        </w:rPr>
      </w:pPr>
    </w:p>
    <w:p>
      <w:pPr>
        <w:tabs>
          <w:tab w:val="left" w:pos="3270"/>
        </w:tabs>
        <w:spacing w:line="360" w:lineRule="auto"/>
        <w:jc w:val="left"/>
        <w:rPr>
          <w:rFonts w:ascii="宋体" w:hAnsi="宋体"/>
          <w:sz w:val="24"/>
        </w:rPr>
      </w:pPr>
    </w:p>
    <w:p>
      <w:pPr>
        <w:tabs>
          <w:tab w:val="left" w:pos="3270"/>
        </w:tabs>
        <w:spacing w:line="360" w:lineRule="auto"/>
        <w:jc w:val="left"/>
        <w:rPr>
          <w:rFonts w:ascii="宋体" w:hAnsi="宋体"/>
          <w:sz w:val="24"/>
        </w:rPr>
      </w:pPr>
    </w:p>
    <w:p>
      <w:pPr>
        <w:tabs>
          <w:tab w:val="left" w:pos="3270"/>
        </w:tabs>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Style w:val="58"/>
          <w:rFonts w:ascii="宋体" w:hAnsi="宋体" w:eastAsia="宋体"/>
          <w:sz w:val="24"/>
        </w:rPr>
      </w:pPr>
    </w:p>
    <w:p>
      <w:pPr>
        <w:pStyle w:val="59"/>
        <w:framePr w:w="0" w:hRule="auto" w:hSpace="0" w:vSpace="0" w:wrap="auto" w:vAnchor="margin" w:hAnchor="text" w:xAlign="left" w:yAlign="inline"/>
        <w:spacing w:line="360" w:lineRule="auto"/>
        <w:jc w:val="both"/>
        <w:rPr>
          <w:w w:val="100"/>
        </w:rPr>
      </w:pPr>
      <w:r>
        <mc:AlternateContent>
          <mc:Choice Requires="wps">
            <w:drawing>
              <wp:anchor distT="0" distB="0" distL="114300" distR="114300" simplePos="0" relativeHeight="251665408" behindDoc="0" locked="0" layoutInCell="1" allowOverlap="1">
                <wp:simplePos x="0" y="0"/>
                <wp:positionH relativeFrom="column">
                  <wp:posOffset>89535</wp:posOffset>
                </wp:positionH>
                <wp:positionV relativeFrom="paragraph">
                  <wp:posOffset>28575</wp:posOffset>
                </wp:positionV>
                <wp:extent cx="5257800" cy="0"/>
                <wp:effectExtent l="0" t="0" r="0" b="0"/>
                <wp:wrapNone/>
                <wp:docPr id="9" name="Line 9"/>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Line 9" o:spid="_x0000_s1026" o:spt="20" style="position:absolute;left:0pt;margin-left:7.05pt;margin-top:2.25pt;height:0pt;width:414pt;z-index:251665408;mso-width-relative:page;mso-height-relative:page;" filled="f" stroked="t" coordsize="21600,21600" o:gfxdata="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G+BFe0gAAAAYBAAAPAAAAAAAAAAEAIAAAACIAAABkcnMvZG93bnJldi54&#10;bWxQSwECFAAUAAAACACHTuJAuHJN0ccBAACfAwAADgAAAAAAAAABACAAAAAhAQAAZHJzL2Uyb0Rv&#10;Yy54bWxQSwUGAAAAAAYABgBZAQAAWgUAAAAA&#10;">
                <v:fill on="f" focussize="0,0"/>
                <v:stroke color="#000000" joinstyle="round"/>
                <v:imagedata o:title=""/>
                <o:lock v:ext="edit" aspectratio="f"/>
              </v:line>
            </w:pict>
          </mc:Fallback>
        </mc:AlternateContent>
      </w:r>
      <w:r>
        <w:rPr>
          <w:w w:val="100"/>
          <w:sz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209550</wp:posOffset>
                </wp:positionV>
                <wp:extent cx="5281295" cy="554355"/>
                <wp:effectExtent l="0" t="3175" r="0" b="4445"/>
                <wp:wrapNone/>
                <wp:docPr id="1" name="Text Box 11"/>
                <wp:cNvGraphicFramePr/>
                <a:graphic xmlns:a="http://schemas.openxmlformats.org/drawingml/2006/main">
                  <a:graphicData uri="http://schemas.microsoft.com/office/word/2010/wordprocessingShape">
                    <wps:wsp>
                      <wps:cNvSpPr txBox="1">
                        <a:spLocks noChangeArrowheads="1"/>
                      </wps:cNvSpPr>
                      <wps:spPr bwMode="auto">
                        <a:xfrm>
                          <a:off x="0" y="0"/>
                          <a:ext cx="5281295" cy="554355"/>
                        </a:xfrm>
                        <a:prstGeom prst="rect">
                          <a:avLst/>
                        </a:prstGeom>
                        <a:solidFill>
                          <a:srgbClr val="FFFFFF"/>
                        </a:solidFill>
                        <a:ln>
                          <a:noFill/>
                        </a:ln>
                      </wps:spPr>
                      <wps:txbx>
                        <w:txbxContent>
                          <w:p>
                            <w:pPr>
                              <w:jc w:val="center"/>
                              <w:rPr>
                                <w:rFonts w:asciiTheme="minorEastAsia" w:hAnsiTheme="minorEastAsia"/>
                                <w:b/>
                                <w:sz w:val="36"/>
                                <w:szCs w:val="36"/>
                              </w:rPr>
                            </w:pPr>
                            <w:r>
                              <w:rPr>
                                <w:rFonts w:hint="eastAsia" w:asciiTheme="minorEastAsia" w:hAnsiTheme="minorEastAsia"/>
                                <w:b/>
                                <w:kern w:val="56"/>
                                <w:sz w:val="36"/>
                                <w:szCs w:val="36"/>
                              </w:rPr>
                              <w:t xml:space="preserve">山东省特种设备协会 </w:t>
                            </w:r>
                            <w:r>
                              <w:rPr>
                                <w:rFonts w:asciiTheme="minorEastAsia" w:hAnsiTheme="minorEastAsia"/>
                                <w:b/>
                                <w:kern w:val="56"/>
                                <w:sz w:val="36"/>
                                <w:szCs w:val="36"/>
                              </w:rPr>
                              <w:t xml:space="preserve">   </w:t>
                            </w:r>
                            <w:r>
                              <w:rPr>
                                <w:rFonts w:hint="eastAsia" w:asciiTheme="minorEastAsia" w:hAnsiTheme="minorEastAsia"/>
                                <w:b/>
                                <w:kern w:val="56"/>
                                <w:sz w:val="36"/>
                                <w:szCs w:val="36"/>
                              </w:rPr>
                              <w:t>发布</w:t>
                            </w:r>
                          </w:p>
                        </w:txbxContent>
                      </wps:txbx>
                      <wps:bodyPr rot="0" vert="horz" wrap="square" lIns="91440" tIns="45720" rIns="91440" bIns="45720" anchor="t" anchorCtr="0" upright="1">
                        <a:noAutofit/>
                      </wps:bodyPr>
                    </wps:wsp>
                  </a:graphicData>
                </a:graphic>
              </wp:anchor>
            </w:drawing>
          </mc:Choice>
          <mc:Fallback>
            <w:pict>
              <v:shape id="Text Box 11" o:spid="_x0000_s1026" o:spt="202" type="#_x0000_t202" style="position:absolute;left:0pt;margin-left:0pt;margin-top:16.5pt;height:43.65pt;width:415.85pt;z-index:251666432;mso-width-relative:page;mso-height-relative:page;" fillcolor="#FFFFFF" filled="t" stroked="f" coordsize="21600,21600" o:gfxdata="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UbaF+1gAAAAcBAAAP&#10;AAAAAAAAAAEAIAAAACIAAABkcnMvZG93bnJldi54bWxQSwECFAAUAAAACACHTuJA5OR2rxoCAAA+&#10;BAAADgAAAAAAAAABACAAAAAlAQAAZHJzL2Uyb0RvYy54bWxQSwUGAAAAAAYABgBZAQAAsQUAAAAA&#10;">
                <v:fill on="t" focussize="0,0"/>
                <v:stroke on="f"/>
                <v:imagedata o:title=""/>
                <o:lock v:ext="edit" aspectratio="f"/>
                <v:textbox>
                  <w:txbxContent>
                    <w:p>
                      <w:pPr>
                        <w:jc w:val="center"/>
                        <w:rPr>
                          <w:rFonts w:asciiTheme="minorEastAsia" w:hAnsiTheme="minorEastAsia"/>
                          <w:b/>
                          <w:sz w:val="36"/>
                          <w:szCs w:val="36"/>
                        </w:rPr>
                      </w:pPr>
                      <w:r>
                        <w:rPr>
                          <w:rFonts w:hint="eastAsia" w:asciiTheme="minorEastAsia" w:hAnsiTheme="minorEastAsia"/>
                          <w:b/>
                          <w:kern w:val="56"/>
                          <w:sz w:val="36"/>
                          <w:szCs w:val="36"/>
                        </w:rPr>
                        <w:t xml:space="preserve">山东省特种设备协会 </w:t>
                      </w:r>
                      <w:r>
                        <w:rPr>
                          <w:rFonts w:asciiTheme="minorEastAsia" w:hAnsiTheme="minorEastAsia"/>
                          <w:b/>
                          <w:kern w:val="56"/>
                          <w:sz w:val="36"/>
                          <w:szCs w:val="36"/>
                        </w:rPr>
                        <w:t xml:space="preserve">   </w:t>
                      </w:r>
                      <w:r>
                        <w:rPr>
                          <w:rFonts w:hint="eastAsia" w:asciiTheme="minorEastAsia" w:hAnsiTheme="minorEastAsia"/>
                          <w:b/>
                          <w:kern w:val="56"/>
                          <w:sz w:val="36"/>
                          <w:szCs w:val="36"/>
                        </w:rPr>
                        <w:t>发布</w:t>
                      </w:r>
                    </w:p>
                  </w:txbxContent>
                </v:textbox>
              </v:shape>
            </w:pict>
          </mc:Fallback>
        </mc:AlternateContent>
      </w:r>
      <w:r>
        <w:rPr>
          <w:rFonts w:hint="eastAsia"/>
          <w:w w:val="100"/>
        </w:rPr>
        <w:t xml:space="preserve">  </w:t>
      </w:r>
    </w:p>
    <w:p>
      <w:pPr>
        <w:pStyle w:val="59"/>
        <w:framePr w:w="0" w:hRule="auto" w:hSpace="0" w:vSpace="0" w:wrap="auto" w:vAnchor="margin" w:hAnchor="text" w:xAlign="left" w:yAlign="inline"/>
        <w:spacing w:line="360" w:lineRule="auto"/>
        <w:jc w:val="both"/>
        <w:rPr>
          <w:kern w:val="56"/>
          <w:szCs w:val="32"/>
        </w:rPr>
      </w:pPr>
    </w:p>
    <w:p>
      <w:pPr>
        <w:spacing w:line="320" w:lineRule="exact"/>
        <w:rPr>
          <w:rFonts w:ascii="宋体" w:hAnsi="宋体"/>
          <w:b/>
          <w:sz w:val="30"/>
          <w:szCs w:val="30"/>
        </w:rPr>
      </w:pPr>
    </w:p>
    <w:p>
      <w:pPr>
        <w:spacing w:line="320" w:lineRule="exact"/>
        <w:rPr>
          <w:rFonts w:ascii="宋体" w:hAnsi="宋体"/>
          <w:b/>
          <w:sz w:val="30"/>
          <w:szCs w:val="30"/>
        </w:rPr>
      </w:pPr>
    </w:p>
    <w:p>
      <w:pPr>
        <w:widowControl/>
        <w:jc w:val="center"/>
        <w:rPr>
          <w:rFonts w:ascii="黑体" w:hAnsi="黑体" w:eastAsia="黑体"/>
          <w:b/>
          <w:sz w:val="32"/>
          <w:szCs w:val="32"/>
        </w:rPr>
      </w:pPr>
      <w:r>
        <w:rPr>
          <w:rFonts w:hint="eastAsia" w:ascii="黑体" w:hAnsi="黑体" w:eastAsia="黑体"/>
          <w:b/>
          <w:sz w:val="32"/>
          <w:szCs w:val="32"/>
        </w:rPr>
        <w:t>目    次</w:t>
      </w:r>
    </w:p>
    <w:sdt>
      <w:sdtPr>
        <w:rPr>
          <w:rFonts w:ascii="Times New Roman" w:hAnsi="Times New Roman" w:eastAsia="宋体" w:cstheme="minorBidi"/>
          <w:b/>
          <w:color w:val="auto"/>
          <w:kern w:val="2"/>
          <w:sz w:val="21"/>
          <w:szCs w:val="21"/>
          <w:lang w:val="zh-CN"/>
        </w:rPr>
        <w:id w:val="-1162770270"/>
        <w:docPartObj>
          <w:docPartGallery w:val="Table of Contents"/>
          <w:docPartUnique/>
        </w:docPartObj>
      </w:sdtPr>
      <w:sdtEndPr>
        <w:rPr>
          <w:rFonts w:ascii="Times New Roman" w:hAnsi="Times New Roman" w:eastAsia="宋体" w:cstheme="minorBidi"/>
          <w:b w:val="0"/>
          <w:bCs/>
          <w:color w:val="auto"/>
          <w:kern w:val="2"/>
          <w:sz w:val="21"/>
          <w:szCs w:val="21"/>
          <w:lang w:val="zh-CN"/>
        </w:rPr>
      </w:sdtEndPr>
      <w:sdtContent>
        <w:p>
          <w:pPr>
            <w:pStyle w:val="92"/>
            <w:spacing w:before="120" w:after="120" w:line="360" w:lineRule="auto"/>
            <w:rPr>
              <w:rFonts w:ascii="宋体" w:hAnsi="宋体" w:eastAsia="宋体" w:cs="宋体"/>
              <w:color w:val="auto"/>
              <w:sz w:val="21"/>
              <w:szCs w:val="21"/>
            </w:rPr>
          </w:pPr>
        </w:p>
        <w:p>
          <w:pPr>
            <w:pStyle w:val="21"/>
            <w:tabs>
              <w:tab w:val="right" w:leader="dot" w:pos="9016"/>
            </w:tabs>
            <w:spacing w:line="360" w:lineRule="auto"/>
            <w:rPr>
              <w:rFonts w:asciiTheme="minorHAnsi" w:hAnsiTheme="minorHAnsi" w:eastAsiaTheme="minorEastAsia" w:cstheme="minorBidi"/>
              <w:b w:val="0"/>
              <w:bCs w:val="0"/>
              <w:caps w:val="0"/>
              <w:sz w:val="21"/>
              <w:szCs w:val="22"/>
            </w:rPr>
          </w:pPr>
          <w:r>
            <w:rPr>
              <w:rFonts w:hint="eastAsia" w:ascii="宋体" w:hAnsi="宋体" w:cs="宋体"/>
              <w:b w:val="0"/>
              <w:bCs w:val="0"/>
              <w:smallCaps/>
              <w:sz w:val="21"/>
              <w:szCs w:val="21"/>
            </w:rPr>
            <w:fldChar w:fldCharType="begin"/>
          </w:r>
          <w:r>
            <w:rPr>
              <w:rFonts w:hint="eastAsia" w:ascii="宋体" w:hAnsi="宋体" w:cs="宋体"/>
              <w:sz w:val="21"/>
              <w:szCs w:val="21"/>
            </w:rPr>
            <w:instrText xml:space="preserve"> TOC \o "1-3" \h \z \u </w:instrText>
          </w:r>
          <w:r>
            <w:rPr>
              <w:rFonts w:hint="eastAsia" w:ascii="宋体" w:hAnsi="宋体" w:cs="宋体"/>
              <w:b w:val="0"/>
              <w:bCs w:val="0"/>
              <w:smallCaps/>
              <w:sz w:val="21"/>
              <w:szCs w:val="21"/>
            </w:rPr>
            <w:fldChar w:fldCharType="separate"/>
          </w:r>
          <w:r>
            <w:fldChar w:fldCharType="begin"/>
          </w:r>
          <w:r>
            <w:instrText xml:space="preserve"> HYPERLINK \l "_Toc159410662" </w:instrText>
          </w:r>
          <w:r>
            <w:fldChar w:fldCharType="separate"/>
          </w:r>
          <w:r>
            <w:rPr>
              <w:rStyle w:val="38"/>
            </w:rPr>
            <w:t>1  范围</w:t>
          </w:r>
          <w:r>
            <w:tab/>
          </w:r>
          <w:r>
            <w:fldChar w:fldCharType="begin"/>
          </w:r>
          <w:r>
            <w:instrText xml:space="preserve"> PAGEREF _Toc159410662 \h </w:instrText>
          </w:r>
          <w:r>
            <w:fldChar w:fldCharType="separate"/>
          </w:r>
          <w:r>
            <w:t>4</w:t>
          </w:r>
          <w:r>
            <w:fldChar w:fldCharType="end"/>
          </w:r>
          <w:r>
            <w:fldChar w:fldCharType="end"/>
          </w:r>
        </w:p>
        <w:p>
          <w:pPr>
            <w:pStyle w:val="21"/>
            <w:tabs>
              <w:tab w:val="right" w:leader="dot" w:pos="9016"/>
            </w:tabs>
            <w:spacing w:line="360" w:lineRule="auto"/>
            <w:rPr>
              <w:rFonts w:asciiTheme="minorHAnsi" w:hAnsiTheme="minorHAnsi" w:eastAsiaTheme="minorEastAsia" w:cstheme="minorBidi"/>
              <w:b w:val="0"/>
              <w:bCs w:val="0"/>
              <w:caps w:val="0"/>
              <w:sz w:val="21"/>
              <w:szCs w:val="22"/>
            </w:rPr>
          </w:pPr>
          <w:r>
            <w:fldChar w:fldCharType="begin"/>
          </w:r>
          <w:r>
            <w:instrText xml:space="preserve"> HYPERLINK \l "_Toc159410663" </w:instrText>
          </w:r>
          <w:r>
            <w:fldChar w:fldCharType="separate"/>
          </w:r>
          <w:r>
            <w:rPr>
              <w:rStyle w:val="38"/>
            </w:rPr>
            <w:t>2  规范性引用文件</w:t>
          </w:r>
          <w:r>
            <w:tab/>
          </w:r>
          <w:r>
            <w:fldChar w:fldCharType="begin"/>
          </w:r>
          <w:r>
            <w:instrText xml:space="preserve"> PAGEREF _Toc159410663 \h </w:instrText>
          </w:r>
          <w:r>
            <w:fldChar w:fldCharType="separate"/>
          </w:r>
          <w:r>
            <w:t>4</w:t>
          </w:r>
          <w:r>
            <w:fldChar w:fldCharType="end"/>
          </w:r>
          <w:r>
            <w:fldChar w:fldCharType="end"/>
          </w:r>
        </w:p>
        <w:p>
          <w:pPr>
            <w:pStyle w:val="21"/>
            <w:tabs>
              <w:tab w:val="right" w:leader="dot" w:pos="9016"/>
            </w:tabs>
            <w:spacing w:line="360" w:lineRule="auto"/>
            <w:rPr>
              <w:rFonts w:asciiTheme="minorHAnsi" w:hAnsiTheme="minorHAnsi" w:eastAsiaTheme="minorEastAsia" w:cstheme="minorBidi"/>
              <w:b w:val="0"/>
              <w:bCs w:val="0"/>
              <w:caps w:val="0"/>
              <w:sz w:val="21"/>
              <w:szCs w:val="22"/>
            </w:rPr>
          </w:pPr>
          <w:r>
            <w:fldChar w:fldCharType="begin"/>
          </w:r>
          <w:r>
            <w:instrText xml:space="preserve"> HYPERLINK \l "_Toc159410664" </w:instrText>
          </w:r>
          <w:r>
            <w:fldChar w:fldCharType="separate"/>
          </w:r>
          <w:r>
            <w:rPr>
              <w:rStyle w:val="38"/>
            </w:rPr>
            <w:t>3  术语和定义</w:t>
          </w:r>
          <w:r>
            <w:tab/>
          </w:r>
          <w:r>
            <w:fldChar w:fldCharType="begin"/>
          </w:r>
          <w:r>
            <w:instrText xml:space="preserve"> PAGEREF _Toc159410664 \h </w:instrText>
          </w:r>
          <w:r>
            <w:fldChar w:fldCharType="separate"/>
          </w:r>
          <w:r>
            <w:t>4</w:t>
          </w:r>
          <w:r>
            <w:fldChar w:fldCharType="end"/>
          </w:r>
          <w:r>
            <w:fldChar w:fldCharType="end"/>
          </w:r>
        </w:p>
        <w:p>
          <w:pPr>
            <w:pStyle w:val="21"/>
            <w:tabs>
              <w:tab w:val="right" w:leader="dot" w:pos="9016"/>
            </w:tabs>
            <w:spacing w:line="360" w:lineRule="auto"/>
            <w:rPr>
              <w:rFonts w:asciiTheme="minorHAnsi" w:hAnsiTheme="minorHAnsi" w:eastAsiaTheme="minorEastAsia" w:cstheme="minorBidi"/>
              <w:b w:val="0"/>
              <w:bCs w:val="0"/>
              <w:caps w:val="0"/>
              <w:sz w:val="21"/>
              <w:szCs w:val="22"/>
            </w:rPr>
          </w:pPr>
          <w:r>
            <w:fldChar w:fldCharType="begin"/>
          </w:r>
          <w:r>
            <w:instrText xml:space="preserve"> HYPERLINK \l "_Toc159410665" </w:instrText>
          </w:r>
          <w:r>
            <w:fldChar w:fldCharType="separate"/>
          </w:r>
          <w:r>
            <w:rPr>
              <w:rStyle w:val="38"/>
            </w:rPr>
            <w:t>4  材料</w:t>
          </w:r>
          <w:r>
            <w:tab/>
          </w:r>
          <w:r>
            <w:fldChar w:fldCharType="begin"/>
          </w:r>
          <w:r>
            <w:instrText xml:space="preserve"> PAGEREF _Toc159410665 \h </w:instrText>
          </w:r>
          <w:r>
            <w:fldChar w:fldCharType="separate"/>
          </w:r>
          <w:r>
            <w:t>5</w:t>
          </w:r>
          <w:r>
            <w:fldChar w:fldCharType="end"/>
          </w:r>
          <w:r>
            <w:fldChar w:fldCharType="end"/>
          </w:r>
        </w:p>
        <w:p>
          <w:pPr>
            <w:pStyle w:val="25"/>
            <w:tabs>
              <w:tab w:val="right" w:leader="dot" w:pos="9016"/>
            </w:tabs>
            <w:spacing w:line="360" w:lineRule="auto"/>
            <w:rPr>
              <w:rFonts w:asciiTheme="minorHAnsi" w:hAnsiTheme="minorHAnsi" w:eastAsiaTheme="minorEastAsia" w:cstheme="minorBidi"/>
              <w:smallCaps w:val="0"/>
              <w:sz w:val="21"/>
              <w:szCs w:val="22"/>
            </w:rPr>
          </w:pPr>
          <w:r>
            <w:fldChar w:fldCharType="begin"/>
          </w:r>
          <w:r>
            <w:instrText xml:space="preserve"> HYPERLINK \l "_Toc159410666" </w:instrText>
          </w:r>
          <w:r>
            <w:fldChar w:fldCharType="separate"/>
          </w:r>
          <w:r>
            <w:rPr>
              <w:rStyle w:val="38"/>
              <w:rFonts w:cs="Times New Roman"/>
            </w:rPr>
            <w:t>4.1 钢板</w:t>
          </w:r>
          <w:r>
            <w:tab/>
          </w:r>
          <w:r>
            <w:fldChar w:fldCharType="begin"/>
          </w:r>
          <w:r>
            <w:instrText xml:space="preserve"> PAGEREF _Toc159410666 \h </w:instrText>
          </w:r>
          <w:r>
            <w:fldChar w:fldCharType="separate"/>
          </w:r>
          <w:r>
            <w:t>5</w:t>
          </w:r>
          <w:r>
            <w:fldChar w:fldCharType="end"/>
          </w:r>
          <w:r>
            <w:fldChar w:fldCharType="end"/>
          </w:r>
        </w:p>
        <w:p>
          <w:pPr>
            <w:pStyle w:val="25"/>
            <w:tabs>
              <w:tab w:val="right" w:leader="dot" w:pos="9016"/>
            </w:tabs>
            <w:spacing w:line="360" w:lineRule="auto"/>
            <w:rPr>
              <w:rFonts w:asciiTheme="minorHAnsi" w:hAnsiTheme="minorHAnsi" w:eastAsiaTheme="minorEastAsia" w:cstheme="minorBidi"/>
              <w:smallCaps w:val="0"/>
              <w:sz w:val="21"/>
              <w:szCs w:val="22"/>
            </w:rPr>
          </w:pPr>
          <w:r>
            <w:fldChar w:fldCharType="begin"/>
          </w:r>
          <w:r>
            <w:instrText xml:space="preserve"> HYPERLINK \l "_Toc159410667" </w:instrText>
          </w:r>
          <w:r>
            <w:fldChar w:fldCharType="separate"/>
          </w:r>
          <w:r>
            <w:rPr>
              <w:rStyle w:val="38"/>
              <w:rFonts w:cs="Times New Roman"/>
            </w:rPr>
            <w:t>4.2 焊接材料</w:t>
          </w:r>
          <w:r>
            <w:tab/>
          </w:r>
          <w:r>
            <w:fldChar w:fldCharType="begin"/>
          </w:r>
          <w:r>
            <w:instrText xml:space="preserve"> PAGEREF _Toc159410667 \h </w:instrText>
          </w:r>
          <w:r>
            <w:fldChar w:fldCharType="separate"/>
          </w:r>
          <w:r>
            <w:t>5</w:t>
          </w:r>
          <w:r>
            <w:fldChar w:fldCharType="end"/>
          </w:r>
          <w:r>
            <w:fldChar w:fldCharType="end"/>
          </w:r>
        </w:p>
        <w:p>
          <w:pPr>
            <w:pStyle w:val="21"/>
            <w:tabs>
              <w:tab w:val="right" w:leader="dot" w:pos="9016"/>
            </w:tabs>
            <w:spacing w:line="360" w:lineRule="auto"/>
            <w:rPr>
              <w:rFonts w:asciiTheme="minorHAnsi" w:hAnsiTheme="minorHAnsi" w:eastAsiaTheme="minorEastAsia" w:cstheme="minorBidi"/>
              <w:b w:val="0"/>
              <w:bCs w:val="0"/>
              <w:caps w:val="0"/>
              <w:sz w:val="21"/>
              <w:szCs w:val="22"/>
            </w:rPr>
          </w:pPr>
          <w:r>
            <w:fldChar w:fldCharType="begin"/>
          </w:r>
          <w:r>
            <w:instrText xml:space="preserve"> HYPERLINK \l "_Toc159410668" </w:instrText>
          </w:r>
          <w:r>
            <w:fldChar w:fldCharType="separate"/>
          </w:r>
          <w:r>
            <w:rPr>
              <w:rStyle w:val="38"/>
            </w:rPr>
            <w:t>5  焊接技能操作人员</w:t>
          </w:r>
          <w:r>
            <w:tab/>
          </w:r>
          <w:r>
            <w:fldChar w:fldCharType="begin"/>
          </w:r>
          <w:r>
            <w:instrText xml:space="preserve"> PAGEREF _Toc159410668 \h </w:instrText>
          </w:r>
          <w:r>
            <w:fldChar w:fldCharType="separate"/>
          </w:r>
          <w:r>
            <w:t>6</w:t>
          </w:r>
          <w:r>
            <w:fldChar w:fldCharType="end"/>
          </w:r>
          <w:r>
            <w:fldChar w:fldCharType="end"/>
          </w:r>
        </w:p>
        <w:p>
          <w:pPr>
            <w:pStyle w:val="21"/>
            <w:tabs>
              <w:tab w:val="right" w:leader="dot" w:pos="9016"/>
            </w:tabs>
            <w:spacing w:line="360" w:lineRule="auto"/>
            <w:rPr>
              <w:rFonts w:asciiTheme="minorHAnsi" w:hAnsiTheme="minorHAnsi" w:eastAsiaTheme="minorEastAsia" w:cstheme="minorBidi"/>
              <w:b w:val="0"/>
              <w:bCs w:val="0"/>
              <w:caps w:val="0"/>
              <w:sz w:val="21"/>
              <w:szCs w:val="22"/>
            </w:rPr>
          </w:pPr>
          <w:r>
            <w:fldChar w:fldCharType="begin"/>
          </w:r>
          <w:r>
            <w:instrText xml:space="preserve"> HYPERLINK \l "_Toc159410669" </w:instrText>
          </w:r>
          <w:r>
            <w:fldChar w:fldCharType="separate"/>
          </w:r>
          <w:r>
            <w:rPr>
              <w:rStyle w:val="38"/>
            </w:rPr>
            <w:t>6  焊接工艺评定及焊接工艺规程</w:t>
          </w:r>
          <w:r>
            <w:tab/>
          </w:r>
          <w:r>
            <w:fldChar w:fldCharType="begin"/>
          </w:r>
          <w:r>
            <w:instrText xml:space="preserve"> PAGEREF _Toc159410669 \h </w:instrText>
          </w:r>
          <w:r>
            <w:fldChar w:fldCharType="separate"/>
          </w:r>
          <w:r>
            <w:t>6</w:t>
          </w:r>
          <w:r>
            <w:fldChar w:fldCharType="end"/>
          </w:r>
          <w:r>
            <w:fldChar w:fldCharType="end"/>
          </w:r>
        </w:p>
        <w:p>
          <w:pPr>
            <w:pStyle w:val="25"/>
            <w:tabs>
              <w:tab w:val="right" w:leader="dot" w:pos="9016"/>
            </w:tabs>
            <w:spacing w:line="360" w:lineRule="auto"/>
            <w:rPr>
              <w:rFonts w:asciiTheme="minorHAnsi" w:hAnsiTheme="minorHAnsi" w:eastAsiaTheme="minorEastAsia" w:cstheme="minorBidi"/>
              <w:smallCaps w:val="0"/>
              <w:sz w:val="21"/>
              <w:szCs w:val="22"/>
            </w:rPr>
          </w:pPr>
          <w:r>
            <w:fldChar w:fldCharType="begin"/>
          </w:r>
          <w:r>
            <w:instrText xml:space="preserve"> HYPERLINK \l "_Toc159410670" </w:instrText>
          </w:r>
          <w:r>
            <w:fldChar w:fldCharType="separate"/>
          </w:r>
          <w:r>
            <w:rPr>
              <w:rStyle w:val="38"/>
            </w:rPr>
            <w:t>6.1 焊接工艺评定</w:t>
          </w:r>
          <w:r>
            <w:tab/>
          </w:r>
          <w:r>
            <w:fldChar w:fldCharType="begin"/>
          </w:r>
          <w:r>
            <w:instrText xml:space="preserve"> PAGEREF _Toc159410670 \h </w:instrText>
          </w:r>
          <w:r>
            <w:fldChar w:fldCharType="separate"/>
          </w:r>
          <w:r>
            <w:t>6</w:t>
          </w:r>
          <w:r>
            <w:fldChar w:fldCharType="end"/>
          </w:r>
          <w:r>
            <w:fldChar w:fldCharType="end"/>
          </w:r>
        </w:p>
        <w:p>
          <w:pPr>
            <w:pStyle w:val="25"/>
            <w:tabs>
              <w:tab w:val="right" w:leader="dot" w:pos="9016"/>
            </w:tabs>
            <w:spacing w:line="360" w:lineRule="auto"/>
            <w:rPr>
              <w:rFonts w:asciiTheme="minorHAnsi" w:hAnsiTheme="minorHAnsi" w:eastAsiaTheme="minorEastAsia" w:cstheme="minorBidi"/>
              <w:smallCaps w:val="0"/>
              <w:sz w:val="21"/>
              <w:szCs w:val="22"/>
            </w:rPr>
          </w:pPr>
          <w:r>
            <w:fldChar w:fldCharType="begin"/>
          </w:r>
          <w:r>
            <w:instrText xml:space="preserve"> HYPERLINK \l "_Toc159410671" </w:instrText>
          </w:r>
          <w:r>
            <w:fldChar w:fldCharType="separate"/>
          </w:r>
          <w:r>
            <w:rPr>
              <w:rStyle w:val="38"/>
            </w:rPr>
            <w:t>6.2 焊接工艺规程</w:t>
          </w:r>
          <w:r>
            <w:tab/>
          </w:r>
          <w:r>
            <w:fldChar w:fldCharType="begin"/>
          </w:r>
          <w:r>
            <w:instrText xml:space="preserve"> PAGEREF _Toc159410671 \h </w:instrText>
          </w:r>
          <w:r>
            <w:fldChar w:fldCharType="separate"/>
          </w:r>
          <w:r>
            <w:t>6</w:t>
          </w:r>
          <w:r>
            <w:fldChar w:fldCharType="end"/>
          </w:r>
          <w:r>
            <w:fldChar w:fldCharType="end"/>
          </w:r>
        </w:p>
        <w:p>
          <w:pPr>
            <w:pStyle w:val="21"/>
            <w:tabs>
              <w:tab w:val="right" w:leader="dot" w:pos="9016"/>
            </w:tabs>
            <w:spacing w:line="360" w:lineRule="auto"/>
            <w:rPr>
              <w:rFonts w:asciiTheme="minorHAnsi" w:hAnsiTheme="minorHAnsi" w:eastAsiaTheme="minorEastAsia" w:cstheme="minorBidi"/>
              <w:b w:val="0"/>
              <w:bCs w:val="0"/>
              <w:caps w:val="0"/>
              <w:sz w:val="21"/>
              <w:szCs w:val="22"/>
            </w:rPr>
          </w:pPr>
          <w:r>
            <w:fldChar w:fldCharType="begin"/>
          </w:r>
          <w:r>
            <w:instrText xml:space="preserve"> HYPERLINK \l "_Toc159410672" </w:instrText>
          </w:r>
          <w:r>
            <w:fldChar w:fldCharType="separate"/>
          </w:r>
          <w:r>
            <w:rPr>
              <w:rStyle w:val="38"/>
            </w:rPr>
            <w:t>7  焊接环境</w:t>
          </w:r>
          <w:r>
            <w:tab/>
          </w:r>
          <w:r>
            <w:fldChar w:fldCharType="begin"/>
          </w:r>
          <w:r>
            <w:instrText xml:space="preserve"> PAGEREF _Toc159410672 \h </w:instrText>
          </w:r>
          <w:r>
            <w:fldChar w:fldCharType="separate"/>
          </w:r>
          <w:r>
            <w:t>7</w:t>
          </w:r>
          <w:r>
            <w:fldChar w:fldCharType="end"/>
          </w:r>
          <w:r>
            <w:fldChar w:fldCharType="end"/>
          </w:r>
        </w:p>
        <w:p>
          <w:pPr>
            <w:pStyle w:val="21"/>
            <w:tabs>
              <w:tab w:val="right" w:leader="dot" w:pos="9016"/>
            </w:tabs>
            <w:spacing w:line="360" w:lineRule="auto"/>
            <w:rPr>
              <w:rFonts w:asciiTheme="minorHAnsi" w:hAnsiTheme="minorHAnsi" w:eastAsiaTheme="minorEastAsia" w:cstheme="minorBidi"/>
              <w:b w:val="0"/>
              <w:bCs w:val="0"/>
              <w:caps w:val="0"/>
              <w:sz w:val="21"/>
              <w:szCs w:val="22"/>
            </w:rPr>
          </w:pPr>
          <w:r>
            <w:fldChar w:fldCharType="begin"/>
          </w:r>
          <w:r>
            <w:instrText xml:space="preserve"> HYPERLINK \l "_Toc159410673" </w:instrText>
          </w:r>
          <w:r>
            <w:fldChar w:fldCharType="separate"/>
          </w:r>
          <w:r>
            <w:rPr>
              <w:rStyle w:val="38"/>
            </w:rPr>
            <w:t>8  焊接施工</w:t>
          </w:r>
          <w:r>
            <w:tab/>
          </w:r>
          <w:r>
            <w:fldChar w:fldCharType="begin"/>
          </w:r>
          <w:r>
            <w:instrText xml:space="preserve"> PAGEREF _Toc159410673 \h </w:instrText>
          </w:r>
          <w:r>
            <w:fldChar w:fldCharType="separate"/>
          </w:r>
          <w:r>
            <w:t>7</w:t>
          </w:r>
          <w:r>
            <w:fldChar w:fldCharType="end"/>
          </w:r>
          <w:r>
            <w:fldChar w:fldCharType="end"/>
          </w:r>
        </w:p>
        <w:p>
          <w:pPr>
            <w:pStyle w:val="25"/>
            <w:tabs>
              <w:tab w:val="right" w:leader="dot" w:pos="9016"/>
            </w:tabs>
            <w:spacing w:line="360" w:lineRule="auto"/>
            <w:rPr>
              <w:rFonts w:asciiTheme="minorHAnsi" w:hAnsiTheme="minorHAnsi" w:eastAsiaTheme="minorEastAsia" w:cstheme="minorBidi"/>
              <w:smallCaps w:val="0"/>
              <w:sz w:val="21"/>
              <w:szCs w:val="22"/>
            </w:rPr>
          </w:pPr>
          <w:r>
            <w:fldChar w:fldCharType="begin"/>
          </w:r>
          <w:r>
            <w:instrText xml:space="preserve"> HYPERLINK \l "_Toc159410674" </w:instrText>
          </w:r>
          <w:r>
            <w:fldChar w:fldCharType="separate"/>
          </w:r>
          <w:r>
            <w:rPr>
              <w:rStyle w:val="38"/>
              <w:rFonts w:cs="Times New Roman"/>
            </w:rPr>
            <w:t>8.1 焊接设备</w:t>
          </w:r>
          <w:r>
            <w:tab/>
          </w:r>
          <w:r>
            <w:fldChar w:fldCharType="begin"/>
          </w:r>
          <w:r>
            <w:instrText xml:space="preserve"> PAGEREF _Toc159410674 \h </w:instrText>
          </w:r>
          <w:r>
            <w:fldChar w:fldCharType="separate"/>
          </w:r>
          <w:r>
            <w:t>7</w:t>
          </w:r>
          <w:r>
            <w:fldChar w:fldCharType="end"/>
          </w:r>
          <w:r>
            <w:fldChar w:fldCharType="end"/>
          </w:r>
        </w:p>
        <w:p>
          <w:pPr>
            <w:pStyle w:val="25"/>
            <w:tabs>
              <w:tab w:val="right" w:leader="dot" w:pos="9016"/>
            </w:tabs>
            <w:spacing w:line="360" w:lineRule="auto"/>
            <w:rPr>
              <w:rFonts w:asciiTheme="minorHAnsi" w:hAnsiTheme="minorHAnsi" w:eastAsiaTheme="minorEastAsia" w:cstheme="minorBidi"/>
              <w:smallCaps w:val="0"/>
              <w:sz w:val="21"/>
              <w:szCs w:val="22"/>
            </w:rPr>
          </w:pPr>
          <w:r>
            <w:fldChar w:fldCharType="begin"/>
          </w:r>
          <w:r>
            <w:instrText xml:space="preserve"> HYPERLINK \l "_Toc159410675" </w:instrText>
          </w:r>
          <w:r>
            <w:fldChar w:fldCharType="separate"/>
          </w:r>
          <w:r>
            <w:rPr>
              <w:rStyle w:val="38"/>
              <w:rFonts w:cs="Times New Roman"/>
            </w:rPr>
            <w:t>8.2 坡口及组对定位</w:t>
          </w:r>
          <w:r>
            <w:tab/>
          </w:r>
          <w:r>
            <w:fldChar w:fldCharType="begin"/>
          </w:r>
          <w:r>
            <w:instrText xml:space="preserve"> PAGEREF _Toc159410675 \h </w:instrText>
          </w:r>
          <w:r>
            <w:fldChar w:fldCharType="separate"/>
          </w:r>
          <w:r>
            <w:t>8</w:t>
          </w:r>
          <w:r>
            <w:fldChar w:fldCharType="end"/>
          </w:r>
          <w:r>
            <w:fldChar w:fldCharType="end"/>
          </w:r>
        </w:p>
        <w:p>
          <w:pPr>
            <w:pStyle w:val="25"/>
            <w:tabs>
              <w:tab w:val="right" w:leader="dot" w:pos="9016"/>
            </w:tabs>
            <w:spacing w:line="360" w:lineRule="auto"/>
            <w:rPr>
              <w:rFonts w:asciiTheme="minorHAnsi" w:hAnsiTheme="minorHAnsi" w:eastAsiaTheme="minorEastAsia" w:cstheme="minorBidi"/>
              <w:smallCaps w:val="0"/>
              <w:sz w:val="21"/>
              <w:szCs w:val="22"/>
            </w:rPr>
          </w:pPr>
          <w:r>
            <w:fldChar w:fldCharType="begin"/>
          </w:r>
          <w:r>
            <w:instrText xml:space="preserve"> HYPERLINK \l "_Toc159410676" </w:instrText>
          </w:r>
          <w:r>
            <w:fldChar w:fldCharType="separate"/>
          </w:r>
          <w:r>
            <w:rPr>
              <w:rStyle w:val="38"/>
              <w:rFonts w:cs="Times New Roman"/>
            </w:rPr>
            <w:t>8.3 组对及定位焊接</w:t>
          </w:r>
          <w:r>
            <w:tab/>
          </w:r>
          <w:r>
            <w:fldChar w:fldCharType="begin"/>
          </w:r>
          <w:r>
            <w:instrText xml:space="preserve"> PAGEREF _Toc159410676 \h </w:instrText>
          </w:r>
          <w:r>
            <w:fldChar w:fldCharType="separate"/>
          </w:r>
          <w:r>
            <w:t>8</w:t>
          </w:r>
          <w:r>
            <w:fldChar w:fldCharType="end"/>
          </w:r>
          <w:r>
            <w:fldChar w:fldCharType="end"/>
          </w:r>
        </w:p>
        <w:p>
          <w:pPr>
            <w:pStyle w:val="25"/>
            <w:tabs>
              <w:tab w:val="right" w:leader="dot" w:pos="9016"/>
            </w:tabs>
            <w:spacing w:line="360" w:lineRule="auto"/>
            <w:rPr>
              <w:rFonts w:asciiTheme="minorHAnsi" w:hAnsiTheme="minorHAnsi" w:eastAsiaTheme="minorEastAsia" w:cstheme="minorBidi"/>
              <w:smallCaps w:val="0"/>
              <w:sz w:val="21"/>
              <w:szCs w:val="22"/>
            </w:rPr>
          </w:pPr>
          <w:r>
            <w:fldChar w:fldCharType="begin"/>
          </w:r>
          <w:r>
            <w:instrText xml:space="preserve"> HYPERLINK \l "_Toc159410677" </w:instrText>
          </w:r>
          <w:r>
            <w:fldChar w:fldCharType="separate"/>
          </w:r>
          <w:r>
            <w:rPr>
              <w:rStyle w:val="38"/>
              <w:rFonts w:cs="Times New Roman"/>
            </w:rPr>
            <w:t>8.4  通用焊接要求</w:t>
          </w:r>
          <w:r>
            <w:tab/>
          </w:r>
          <w:r>
            <w:fldChar w:fldCharType="begin"/>
          </w:r>
          <w:r>
            <w:instrText xml:space="preserve"> PAGEREF _Toc159410677 \h </w:instrText>
          </w:r>
          <w:r>
            <w:fldChar w:fldCharType="separate"/>
          </w:r>
          <w:r>
            <w:t>9</w:t>
          </w:r>
          <w:r>
            <w:fldChar w:fldCharType="end"/>
          </w:r>
          <w:r>
            <w:fldChar w:fldCharType="end"/>
          </w:r>
        </w:p>
        <w:p>
          <w:pPr>
            <w:pStyle w:val="25"/>
            <w:tabs>
              <w:tab w:val="right" w:leader="dot" w:pos="9016"/>
            </w:tabs>
            <w:spacing w:line="360" w:lineRule="auto"/>
            <w:rPr>
              <w:rFonts w:asciiTheme="minorHAnsi" w:hAnsiTheme="minorHAnsi" w:eastAsiaTheme="minorEastAsia" w:cstheme="minorBidi"/>
              <w:smallCaps w:val="0"/>
              <w:sz w:val="21"/>
              <w:szCs w:val="22"/>
            </w:rPr>
          </w:pPr>
          <w:r>
            <w:fldChar w:fldCharType="begin"/>
          </w:r>
          <w:r>
            <w:instrText xml:space="preserve"> HYPERLINK \l "_Toc159410678" </w:instrText>
          </w:r>
          <w:r>
            <w:fldChar w:fldCharType="separate"/>
          </w:r>
          <w:r>
            <w:rPr>
              <w:rStyle w:val="38"/>
              <w:rFonts w:cs="Times New Roman"/>
            </w:rPr>
            <w:t>8.5  储罐壁板环焊缝</w:t>
          </w:r>
          <w:r>
            <w:tab/>
          </w:r>
          <w:r>
            <w:fldChar w:fldCharType="begin"/>
          </w:r>
          <w:r>
            <w:instrText xml:space="preserve"> PAGEREF _Toc159410678 \h </w:instrText>
          </w:r>
          <w:r>
            <w:fldChar w:fldCharType="separate"/>
          </w:r>
          <w:r>
            <w:t>9</w:t>
          </w:r>
          <w:r>
            <w:fldChar w:fldCharType="end"/>
          </w:r>
          <w:r>
            <w:fldChar w:fldCharType="end"/>
          </w:r>
        </w:p>
        <w:p>
          <w:pPr>
            <w:pStyle w:val="25"/>
            <w:tabs>
              <w:tab w:val="right" w:leader="dot" w:pos="9016"/>
            </w:tabs>
            <w:spacing w:line="360" w:lineRule="auto"/>
            <w:rPr>
              <w:rFonts w:asciiTheme="minorHAnsi" w:hAnsiTheme="minorHAnsi" w:eastAsiaTheme="minorEastAsia" w:cstheme="minorBidi"/>
              <w:smallCaps w:val="0"/>
              <w:sz w:val="21"/>
              <w:szCs w:val="22"/>
            </w:rPr>
          </w:pPr>
          <w:r>
            <w:fldChar w:fldCharType="begin"/>
          </w:r>
          <w:r>
            <w:instrText xml:space="preserve"> HYPERLINK \l "_Toc159410679" </w:instrText>
          </w:r>
          <w:r>
            <w:fldChar w:fldCharType="separate"/>
          </w:r>
          <w:r>
            <w:rPr>
              <w:rStyle w:val="38"/>
              <w:rFonts w:cs="Times New Roman"/>
            </w:rPr>
            <w:t>8.6  底板边缘板对接焊缝</w:t>
          </w:r>
          <w:r>
            <w:tab/>
          </w:r>
          <w:r>
            <w:fldChar w:fldCharType="begin"/>
          </w:r>
          <w:r>
            <w:instrText xml:space="preserve"> PAGEREF _Toc159410679 \h </w:instrText>
          </w:r>
          <w:r>
            <w:fldChar w:fldCharType="separate"/>
          </w:r>
          <w:r>
            <w:t>11</w:t>
          </w:r>
          <w:r>
            <w:fldChar w:fldCharType="end"/>
          </w:r>
          <w:r>
            <w:fldChar w:fldCharType="end"/>
          </w:r>
        </w:p>
        <w:p>
          <w:pPr>
            <w:pStyle w:val="25"/>
            <w:tabs>
              <w:tab w:val="right" w:leader="dot" w:pos="9016"/>
            </w:tabs>
            <w:spacing w:line="360" w:lineRule="auto"/>
            <w:rPr>
              <w:rFonts w:asciiTheme="minorHAnsi" w:hAnsiTheme="minorHAnsi" w:eastAsiaTheme="minorEastAsia" w:cstheme="minorBidi"/>
              <w:smallCaps w:val="0"/>
              <w:sz w:val="21"/>
              <w:szCs w:val="22"/>
            </w:rPr>
          </w:pPr>
          <w:r>
            <w:fldChar w:fldCharType="begin"/>
          </w:r>
          <w:r>
            <w:instrText xml:space="preserve"> HYPERLINK \l "_Toc159410680" </w:instrText>
          </w:r>
          <w:r>
            <w:fldChar w:fldCharType="separate"/>
          </w:r>
          <w:r>
            <w:rPr>
              <w:rStyle w:val="38"/>
              <w:rFonts w:cs="Times New Roman"/>
            </w:rPr>
            <w:t>8.7  大角焊缝</w:t>
          </w:r>
          <w:r>
            <w:tab/>
          </w:r>
          <w:r>
            <w:fldChar w:fldCharType="begin"/>
          </w:r>
          <w:r>
            <w:instrText xml:space="preserve"> PAGEREF _Toc159410680 \h </w:instrText>
          </w:r>
          <w:r>
            <w:fldChar w:fldCharType="separate"/>
          </w:r>
          <w:r>
            <w:t>12</w:t>
          </w:r>
          <w:r>
            <w:fldChar w:fldCharType="end"/>
          </w:r>
          <w:r>
            <w:fldChar w:fldCharType="end"/>
          </w:r>
        </w:p>
        <w:p>
          <w:pPr>
            <w:pStyle w:val="25"/>
            <w:tabs>
              <w:tab w:val="right" w:leader="dot" w:pos="9016"/>
            </w:tabs>
            <w:spacing w:line="360" w:lineRule="auto"/>
            <w:rPr>
              <w:rFonts w:asciiTheme="minorHAnsi" w:hAnsiTheme="minorHAnsi" w:eastAsiaTheme="minorEastAsia" w:cstheme="minorBidi"/>
              <w:smallCaps w:val="0"/>
              <w:sz w:val="21"/>
              <w:szCs w:val="22"/>
            </w:rPr>
          </w:pPr>
          <w:r>
            <w:fldChar w:fldCharType="begin"/>
          </w:r>
          <w:r>
            <w:instrText xml:space="preserve"> HYPERLINK \l "_Toc159410681" </w:instrText>
          </w:r>
          <w:r>
            <w:fldChar w:fldCharType="separate"/>
          </w:r>
          <w:r>
            <w:rPr>
              <w:rStyle w:val="38"/>
              <w:rFonts w:cs="Times New Roman"/>
            </w:rPr>
            <w:t>8.8  加强圈预制角焊缝</w:t>
          </w:r>
          <w:r>
            <w:tab/>
          </w:r>
          <w:r>
            <w:fldChar w:fldCharType="begin"/>
          </w:r>
          <w:r>
            <w:instrText xml:space="preserve"> PAGEREF _Toc159410681 \h </w:instrText>
          </w:r>
          <w:r>
            <w:fldChar w:fldCharType="separate"/>
          </w:r>
          <w:r>
            <w:t>13</w:t>
          </w:r>
          <w:r>
            <w:fldChar w:fldCharType="end"/>
          </w:r>
          <w:r>
            <w:fldChar w:fldCharType="end"/>
          </w:r>
        </w:p>
        <w:p>
          <w:pPr>
            <w:pStyle w:val="25"/>
            <w:tabs>
              <w:tab w:val="right" w:leader="dot" w:pos="9016"/>
            </w:tabs>
            <w:spacing w:line="360" w:lineRule="auto"/>
            <w:rPr>
              <w:rFonts w:asciiTheme="minorHAnsi" w:hAnsiTheme="minorHAnsi" w:eastAsiaTheme="minorEastAsia" w:cstheme="minorBidi"/>
              <w:smallCaps w:val="0"/>
              <w:sz w:val="21"/>
              <w:szCs w:val="22"/>
            </w:rPr>
          </w:pPr>
          <w:r>
            <w:fldChar w:fldCharType="begin"/>
          </w:r>
          <w:r>
            <w:instrText xml:space="preserve"> HYPERLINK \l "_Toc159410682" </w:instrText>
          </w:r>
          <w:r>
            <w:fldChar w:fldCharType="separate"/>
          </w:r>
          <w:r>
            <w:rPr>
              <w:rStyle w:val="38"/>
              <w:rFonts w:cs="Times New Roman"/>
            </w:rPr>
            <w:t>8.9  焊接返修</w:t>
          </w:r>
          <w:r>
            <w:tab/>
          </w:r>
          <w:r>
            <w:fldChar w:fldCharType="begin"/>
          </w:r>
          <w:r>
            <w:instrText xml:space="preserve"> PAGEREF _Toc159410682 \h </w:instrText>
          </w:r>
          <w:r>
            <w:fldChar w:fldCharType="separate"/>
          </w:r>
          <w:r>
            <w:t>13</w:t>
          </w:r>
          <w:r>
            <w:fldChar w:fldCharType="end"/>
          </w:r>
          <w:r>
            <w:fldChar w:fldCharType="end"/>
          </w:r>
        </w:p>
        <w:p>
          <w:pPr>
            <w:pStyle w:val="21"/>
            <w:tabs>
              <w:tab w:val="right" w:leader="dot" w:pos="9016"/>
            </w:tabs>
            <w:spacing w:line="360" w:lineRule="auto"/>
            <w:rPr>
              <w:rFonts w:asciiTheme="minorHAnsi" w:hAnsiTheme="minorHAnsi" w:eastAsiaTheme="minorEastAsia" w:cstheme="minorBidi"/>
              <w:b w:val="0"/>
              <w:bCs w:val="0"/>
              <w:caps w:val="0"/>
              <w:sz w:val="21"/>
              <w:szCs w:val="22"/>
            </w:rPr>
          </w:pPr>
          <w:r>
            <w:fldChar w:fldCharType="begin"/>
          </w:r>
          <w:r>
            <w:instrText xml:space="preserve"> HYPERLINK \l "_Toc159410683" </w:instrText>
          </w:r>
          <w:r>
            <w:fldChar w:fldCharType="separate"/>
          </w:r>
          <w:r>
            <w:rPr>
              <w:rStyle w:val="38"/>
            </w:rPr>
            <w:t>9  焊接质量检测</w:t>
          </w:r>
          <w:r>
            <w:tab/>
          </w:r>
          <w:r>
            <w:fldChar w:fldCharType="begin"/>
          </w:r>
          <w:r>
            <w:instrText xml:space="preserve"> PAGEREF _Toc159410683 \h </w:instrText>
          </w:r>
          <w:r>
            <w:fldChar w:fldCharType="separate"/>
          </w:r>
          <w:r>
            <w:t>14</w:t>
          </w:r>
          <w:r>
            <w:fldChar w:fldCharType="end"/>
          </w:r>
          <w:r>
            <w:fldChar w:fldCharType="end"/>
          </w:r>
        </w:p>
        <w:p>
          <w:pPr>
            <w:pStyle w:val="25"/>
            <w:tabs>
              <w:tab w:val="right" w:leader="dot" w:pos="9016"/>
            </w:tabs>
            <w:spacing w:line="360" w:lineRule="auto"/>
            <w:rPr>
              <w:rFonts w:asciiTheme="minorHAnsi" w:hAnsiTheme="minorHAnsi" w:eastAsiaTheme="minorEastAsia" w:cstheme="minorBidi"/>
              <w:smallCaps w:val="0"/>
              <w:sz w:val="21"/>
              <w:szCs w:val="22"/>
            </w:rPr>
          </w:pPr>
          <w:r>
            <w:fldChar w:fldCharType="begin"/>
          </w:r>
          <w:r>
            <w:instrText xml:space="preserve"> HYPERLINK \l "_Toc159410684" </w:instrText>
          </w:r>
          <w:r>
            <w:fldChar w:fldCharType="separate"/>
          </w:r>
          <w:r>
            <w:rPr>
              <w:rStyle w:val="38"/>
              <w:rFonts w:cs="Times New Roman"/>
            </w:rPr>
            <w:t>9.1 外观检查</w:t>
          </w:r>
          <w:r>
            <w:tab/>
          </w:r>
          <w:r>
            <w:fldChar w:fldCharType="begin"/>
          </w:r>
          <w:r>
            <w:instrText xml:space="preserve"> PAGEREF _Toc159410684 \h </w:instrText>
          </w:r>
          <w:r>
            <w:fldChar w:fldCharType="separate"/>
          </w:r>
          <w:r>
            <w:t>14</w:t>
          </w:r>
          <w:r>
            <w:fldChar w:fldCharType="end"/>
          </w:r>
          <w:r>
            <w:fldChar w:fldCharType="end"/>
          </w:r>
        </w:p>
        <w:p>
          <w:pPr>
            <w:pStyle w:val="25"/>
            <w:tabs>
              <w:tab w:val="right" w:leader="dot" w:pos="9016"/>
            </w:tabs>
            <w:spacing w:line="360" w:lineRule="auto"/>
            <w:rPr>
              <w:rFonts w:asciiTheme="minorHAnsi" w:hAnsiTheme="minorHAnsi" w:eastAsiaTheme="minorEastAsia" w:cstheme="minorBidi"/>
              <w:smallCaps w:val="0"/>
              <w:sz w:val="21"/>
              <w:szCs w:val="22"/>
            </w:rPr>
          </w:pPr>
          <w:r>
            <w:fldChar w:fldCharType="begin"/>
          </w:r>
          <w:r>
            <w:instrText xml:space="preserve"> HYPERLINK \l "_Toc159410685" </w:instrText>
          </w:r>
          <w:r>
            <w:fldChar w:fldCharType="separate"/>
          </w:r>
          <w:r>
            <w:rPr>
              <w:rStyle w:val="38"/>
              <w:rFonts w:cs="Times New Roman"/>
            </w:rPr>
            <w:t>9.2 无损检测</w:t>
          </w:r>
          <w:r>
            <w:tab/>
          </w:r>
          <w:r>
            <w:fldChar w:fldCharType="begin"/>
          </w:r>
          <w:r>
            <w:instrText xml:space="preserve"> PAGEREF _Toc159410685 \h </w:instrText>
          </w:r>
          <w:r>
            <w:fldChar w:fldCharType="separate"/>
          </w:r>
          <w:r>
            <w:t>14</w:t>
          </w:r>
          <w:r>
            <w:fldChar w:fldCharType="end"/>
          </w:r>
          <w:r>
            <w:fldChar w:fldCharType="end"/>
          </w:r>
        </w:p>
        <w:p>
          <w:pPr>
            <w:pStyle w:val="25"/>
            <w:tabs>
              <w:tab w:val="right" w:leader="dot" w:pos="9016"/>
            </w:tabs>
            <w:spacing w:line="360" w:lineRule="auto"/>
            <w:rPr>
              <w:rFonts w:asciiTheme="minorHAnsi" w:hAnsiTheme="minorHAnsi" w:eastAsiaTheme="minorEastAsia" w:cstheme="minorBidi"/>
              <w:smallCaps w:val="0"/>
              <w:sz w:val="21"/>
              <w:szCs w:val="22"/>
            </w:rPr>
          </w:pPr>
          <w:r>
            <w:fldChar w:fldCharType="begin"/>
          </w:r>
          <w:r>
            <w:instrText xml:space="preserve"> HYPERLINK \l "_Toc159410686" </w:instrText>
          </w:r>
          <w:r>
            <w:fldChar w:fldCharType="separate"/>
          </w:r>
          <w:r>
            <w:rPr>
              <w:rStyle w:val="38"/>
              <w:rFonts w:cs="Times New Roman"/>
            </w:rPr>
            <w:t>9.3 真空箱检测</w:t>
          </w:r>
          <w:r>
            <w:tab/>
          </w:r>
          <w:r>
            <w:fldChar w:fldCharType="begin"/>
          </w:r>
          <w:r>
            <w:instrText xml:space="preserve"> PAGEREF _Toc159410686 \h </w:instrText>
          </w:r>
          <w:r>
            <w:fldChar w:fldCharType="separate"/>
          </w:r>
          <w:r>
            <w:t>14</w:t>
          </w:r>
          <w:r>
            <w:fldChar w:fldCharType="end"/>
          </w:r>
          <w:r>
            <w:fldChar w:fldCharType="end"/>
          </w:r>
        </w:p>
        <w:p>
          <w:pPr>
            <w:pStyle w:val="21"/>
            <w:tabs>
              <w:tab w:val="right" w:leader="dot" w:pos="9016"/>
            </w:tabs>
            <w:spacing w:line="360" w:lineRule="auto"/>
            <w:rPr>
              <w:rFonts w:asciiTheme="minorHAnsi" w:hAnsiTheme="minorHAnsi" w:eastAsiaTheme="minorEastAsia" w:cstheme="minorBidi"/>
              <w:b w:val="0"/>
              <w:bCs w:val="0"/>
              <w:caps w:val="0"/>
              <w:sz w:val="21"/>
              <w:szCs w:val="22"/>
            </w:rPr>
          </w:pPr>
          <w:r>
            <w:fldChar w:fldCharType="begin"/>
          </w:r>
          <w:r>
            <w:instrText xml:space="preserve"> HYPERLINK \l "_Toc159410687" </w:instrText>
          </w:r>
          <w:r>
            <w:fldChar w:fldCharType="separate"/>
          </w:r>
          <w:r>
            <w:rPr>
              <w:rStyle w:val="38"/>
              <w:rFonts w:cs="Times New Roman"/>
            </w:rPr>
            <w:t>附录A（资料性附录）推荐的9%Ni钢用国内外镍基埋弧焊材</w:t>
          </w:r>
          <w:r>
            <w:tab/>
          </w:r>
          <w:r>
            <w:fldChar w:fldCharType="begin"/>
          </w:r>
          <w:r>
            <w:instrText xml:space="preserve"> PAGEREF _Toc159410687 \h </w:instrText>
          </w:r>
          <w:r>
            <w:fldChar w:fldCharType="separate"/>
          </w:r>
          <w:r>
            <w:t>15</w:t>
          </w:r>
          <w:r>
            <w:fldChar w:fldCharType="end"/>
          </w:r>
          <w:r>
            <w:fldChar w:fldCharType="end"/>
          </w:r>
        </w:p>
        <w:p>
          <w:pPr>
            <w:pStyle w:val="21"/>
            <w:tabs>
              <w:tab w:val="right" w:leader="dot" w:pos="9016"/>
            </w:tabs>
            <w:spacing w:line="360" w:lineRule="auto"/>
            <w:rPr>
              <w:rFonts w:asciiTheme="minorHAnsi" w:hAnsiTheme="minorHAnsi" w:eastAsiaTheme="minorEastAsia" w:cstheme="minorBidi"/>
              <w:b w:val="0"/>
              <w:bCs w:val="0"/>
              <w:caps w:val="0"/>
              <w:sz w:val="21"/>
              <w:szCs w:val="22"/>
            </w:rPr>
          </w:pPr>
          <w:r>
            <w:fldChar w:fldCharType="begin"/>
          </w:r>
          <w:r>
            <w:instrText xml:space="preserve"> HYPERLINK \l "_Toc159410688" </w:instrText>
          </w:r>
          <w:r>
            <w:fldChar w:fldCharType="separate"/>
          </w:r>
          <w:r>
            <w:rPr>
              <w:rStyle w:val="38"/>
              <w:rFonts w:cs="Times New Roman"/>
            </w:rPr>
            <w:t>附录B（资料性附录）推荐的焊接工艺评定指标</w:t>
          </w:r>
          <w:r>
            <w:tab/>
          </w:r>
          <w:r>
            <w:fldChar w:fldCharType="begin"/>
          </w:r>
          <w:r>
            <w:instrText xml:space="preserve"> PAGEREF _Toc159410688 \h </w:instrText>
          </w:r>
          <w:r>
            <w:fldChar w:fldCharType="separate"/>
          </w:r>
          <w:r>
            <w:t>16</w:t>
          </w:r>
          <w:r>
            <w:fldChar w:fldCharType="end"/>
          </w:r>
          <w:r>
            <w:fldChar w:fldCharType="end"/>
          </w:r>
        </w:p>
        <w:p>
          <w:pPr>
            <w:spacing w:line="360" w:lineRule="auto"/>
            <w:jc w:val="center"/>
            <w:rPr>
              <w:bCs/>
              <w:lang w:val="zh-CN"/>
            </w:rPr>
          </w:pPr>
          <w:r>
            <w:rPr>
              <w:rFonts w:hint="eastAsia" w:ascii="宋体" w:hAnsi="宋体" w:cs="宋体"/>
              <w:bCs/>
              <w:lang w:val="zh-CN"/>
            </w:rPr>
            <w:fldChar w:fldCharType="end"/>
          </w:r>
        </w:p>
      </w:sdtContent>
    </w:sdt>
    <w:p>
      <w:pPr>
        <w:jc w:val="center"/>
        <w:rPr>
          <w:rFonts w:ascii="黑体" w:hAnsi="黑体" w:eastAsia="黑体"/>
          <w:b/>
          <w:sz w:val="32"/>
          <w:szCs w:val="32"/>
        </w:rPr>
      </w:pPr>
      <w:r>
        <w:rPr>
          <w:rFonts w:hint="eastAsia" w:ascii="黑体" w:hAnsi="黑体" w:eastAsia="黑体"/>
          <w:b/>
          <w:bCs/>
          <w:sz w:val="32"/>
          <w:szCs w:val="32"/>
        </w:rPr>
        <w:br w:type="page"/>
      </w:r>
      <w:r>
        <w:rPr>
          <w:rFonts w:hint="eastAsia" w:ascii="黑体" w:hAnsi="黑体" w:eastAsia="黑体"/>
          <w:b/>
          <w:bCs/>
          <w:sz w:val="32"/>
          <w:szCs w:val="32"/>
        </w:rPr>
        <w:t xml:space="preserve">前 </w:t>
      </w:r>
      <w:r>
        <w:rPr>
          <w:rFonts w:ascii="黑体" w:hAnsi="黑体" w:eastAsia="黑体"/>
          <w:b/>
          <w:bCs/>
          <w:sz w:val="32"/>
          <w:szCs w:val="32"/>
        </w:rPr>
        <w:t xml:space="preserve">   </w:t>
      </w:r>
      <w:r>
        <w:rPr>
          <w:rFonts w:hint="eastAsia" w:ascii="黑体" w:hAnsi="黑体" w:eastAsia="黑体"/>
          <w:b/>
          <w:bCs/>
          <w:sz w:val="32"/>
          <w:szCs w:val="32"/>
        </w:rPr>
        <w:t>言</w:t>
      </w:r>
    </w:p>
    <w:p>
      <w:pPr>
        <w:spacing w:line="360" w:lineRule="auto"/>
        <w:ind w:firstLine="420" w:firstLineChars="200"/>
        <w:jc w:val="left"/>
        <w:rPr>
          <w:rFonts w:cs="宋体" w:asciiTheme="minorEastAsia" w:hAnsiTheme="minorEastAsia"/>
        </w:rPr>
      </w:pPr>
    </w:p>
    <w:p>
      <w:pPr>
        <w:pStyle w:val="101"/>
        <w:spacing w:line="360" w:lineRule="auto"/>
        <w:ind w:firstLine="420"/>
      </w:pPr>
      <w:r>
        <w:rPr>
          <w:rFonts w:hint="eastAsia"/>
        </w:rPr>
        <w:t>本文件按照GB/T 1.1—2020《标准化工作导则  第1部分：标准化文件的结构和起草规则》的规定起草。</w:t>
      </w:r>
    </w:p>
    <w:p>
      <w:pPr>
        <w:pStyle w:val="46"/>
        <w:autoSpaceDE w:val="0"/>
        <w:autoSpaceDN w:val="0"/>
        <w:adjustRightInd/>
        <w:spacing w:line="360" w:lineRule="auto"/>
        <w:ind w:firstLine="420"/>
        <w:jc w:val="both"/>
        <w:rPr>
          <w:rFonts w:cs="Times New Roman" w:asciiTheme="minorEastAsia" w:hAnsiTheme="minorEastAsia" w:eastAsiaTheme="minorEastAsia"/>
        </w:rPr>
      </w:pPr>
      <w:r>
        <w:rPr>
          <w:rFonts w:hint="eastAsia" w:cs="Times New Roman" w:asciiTheme="minorEastAsia" w:hAnsiTheme="minorEastAsia" w:eastAsiaTheme="minorEastAsia"/>
          <w:bCs w:val="0"/>
          <w:spacing w:val="0"/>
          <w:kern w:val="2"/>
        </w:rPr>
        <w:t>LNG储罐建造过程中，内罐9%Ni钢埋弧焊技术的应用范围不断扩展，在保证焊接质量的同时，提高了焊接机动化程度，从而促进了储罐整体焊接效率的提升。</w:t>
      </w:r>
      <w:r>
        <w:rPr>
          <w:rFonts w:hint="eastAsia" w:cs="Times New Roman" w:asciiTheme="minorEastAsia" w:hAnsiTheme="minorEastAsia" w:eastAsiaTheme="minorEastAsia"/>
        </w:rPr>
        <w:t>本标准在制定过程中，对9%Ni钢埋弧焊在全容式LNG储罐环焊缝、大角焊缝、底板边缘板对接焊缝、加强圈角焊缝的应用进行了广泛深入的调查研究，参考有关国际标准和国外先进标准，制订本标准。</w:t>
      </w:r>
    </w:p>
    <w:p>
      <w:pPr>
        <w:pStyle w:val="46"/>
        <w:autoSpaceDE w:val="0"/>
        <w:autoSpaceDN w:val="0"/>
        <w:adjustRightInd/>
        <w:spacing w:line="360" w:lineRule="auto"/>
        <w:ind w:firstLine="420"/>
        <w:jc w:val="both"/>
        <w:rPr>
          <w:rFonts w:cs="Times New Roman" w:asciiTheme="minorEastAsia" w:hAnsiTheme="minorEastAsia" w:eastAsiaTheme="minorEastAsia"/>
          <w:bCs w:val="0"/>
          <w:spacing w:val="0"/>
          <w:kern w:val="2"/>
        </w:rPr>
      </w:pPr>
      <w:r>
        <w:rPr>
          <w:rFonts w:hint="eastAsia" w:cs="Times New Roman" w:asciiTheme="minorEastAsia" w:hAnsiTheme="minorEastAsia" w:eastAsiaTheme="minorEastAsia"/>
          <w:bCs w:val="0"/>
          <w:spacing w:val="0"/>
          <w:kern w:val="2"/>
        </w:rPr>
        <w:t>本标准主要内容包括：</w:t>
      </w:r>
    </w:p>
    <w:p>
      <w:pPr>
        <w:pStyle w:val="46"/>
        <w:autoSpaceDE w:val="0"/>
        <w:autoSpaceDN w:val="0"/>
        <w:adjustRightInd/>
        <w:spacing w:line="360" w:lineRule="auto"/>
        <w:ind w:firstLine="420"/>
        <w:jc w:val="both"/>
        <w:rPr>
          <w:rFonts w:cs="Times New Roman" w:asciiTheme="minorEastAsia" w:hAnsiTheme="minorEastAsia" w:eastAsiaTheme="minorEastAsia"/>
          <w:bCs w:val="0"/>
          <w:spacing w:val="0"/>
          <w:kern w:val="2"/>
        </w:rPr>
      </w:pPr>
      <w:r>
        <w:rPr>
          <w:rFonts w:cs="Times New Roman" w:asciiTheme="minorEastAsia" w:hAnsiTheme="minorEastAsia" w:eastAsiaTheme="minorEastAsia"/>
          <w:bCs w:val="0"/>
          <w:spacing w:val="0"/>
          <w:kern w:val="2"/>
        </w:rPr>
        <w:t>LNG</w:t>
      </w:r>
      <w:r>
        <w:rPr>
          <w:rFonts w:hint="eastAsia" w:cs="Times New Roman" w:asciiTheme="minorEastAsia" w:hAnsiTheme="minorEastAsia" w:eastAsiaTheme="minorEastAsia"/>
          <w:bCs w:val="0"/>
          <w:spacing w:val="0"/>
          <w:kern w:val="2"/>
        </w:rPr>
        <w:t>储罐内罐9%Ni埋弧焊使用范围；</w:t>
      </w:r>
    </w:p>
    <w:p>
      <w:pPr>
        <w:pStyle w:val="46"/>
        <w:autoSpaceDE w:val="0"/>
        <w:autoSpaceDN w:val="0"/>
        <w:adjustRightInd/>
        <w:spacing w:line="360" w:lineRule="auto"/>
        <w:ind w:firstLine="420"/>
        <w:jc w:val="both"/>
        <w:rPr>
          <w:rFonts w:cs="Times New Roman" w:asciiTheme="minorEastAsia" w:hAnsiTheme="minorEastAsia" w:eastAsiaTheme="minorEastAsia"/>
          <w:bCs w:val="0"/>
          <w:spacing w:val="0"/>
          <w:kern w:val="2"/>
        </w:rPr>
      </w:pPr>
      <w:r>
        <w:rPr>
          <w:rFonts w:cs="Times New Roman" w:asciiTheme="minorEastAsia" w:hAnsiTheme="minorEastAsia" w:eastAsiaTheme="minorEastAsia"/>
          <w:bCs w:val="0"/>
          <w:spacing w:val="0"/>
          <w:kern w:val="2"/>
        </w:rPr>
        <w:t>LNG</w:t>
      </w:r>
      <w:r>
        <w:rPr>
          <w:rFonts w:hint="eastAsia" w:cs="Times New Roman" w:asciiTheme="minorEastAsia" w:hAnsiTheme="minorEastAsia" w:eastAsiaTheme="minorEastAsia"/>
          <w:bCs w:val="0"/>
          <w:spacing w:val="0"/>
          <w:kern w:val="2"/>
        </w:rPr>
        <w:t>储罐及其所使用</w:t>
      </w:r>
      <w:r>
        <w:rPr>
          <w:rFonts w:hint="eastAsia" w:cs="Times New Roman" w:asciiTheme="minorEastAsia" w:hAnsiTheme="minorEastAsia" w:eastAsiaTheme="minorEastAsia"/>
          <w:kern w:val="2"/>
        </w:rPr>
        <w:t>埋弧焊</w:t>
      </w:r>
      <w:r>
        <w:rPr>
          <w:rFonts w:hint="eastAsia" w:cs="Times New Roman" w:asciiTheme="minorEastAsia" w:hAnsiTheme="minorEastAsia" w:eastAsiaTheme="minorEastAsia"/>
          <w:bCs w:val="0"/>
          <w:spacing w:val="0"/>
          <w:kern w:val="2"/>
        </w:rPr>
        <w:t>相关定义和术语；</w:t>
      </w:r>
    </w:p>
    <w:p>
      <w:pPr>
        <w:pStyle w:val="46"/>
        <w:autoSpaceDE w:val="0"/>
        <w:autoSpaceDN w:val="0"/>
        <w:adjustRightInd/>
        <w:spacing w:line="360" w:lineRule="auto"/>
        <w:ind w:firstLine="420"/>
        <w:jc w:val="both"/>
        <w:rPr>
          <w:rFonts w:cs="Times New Roman" w:asciiTheme="minorEastAsia" w:hAnsiTheme="minorEastAsia" w:eastAsiaTheme="minorEastAsia"/>
          <w:bCs w:val="0"/>
          <w:spacing w:val="0"/>
          <w:kern w:val="2"/>
        </w:rPr>
      </w:pPr>
      <w:r>
        <w:rPr>
          <w:rFonts w:cs="Times New Roman" w:asciiTheme="minorEastAsia" w:hAnsiTheme="minorEastAsia" w:eastAsiaTheme="minorEastAsia"/>
          <w:bCs w:val="0"/>
          <w:spacing w:val="0"/>
          <w:kern w:val="2"/>
        </w:rPr>
        <w:t>LNG</w:t>
      </w:r>
      <w:r>
        <w:rPr>
          <w:rFonts w:hint="eastAsia" w:cs="Times New Roman" w:asciiTheme="minorEastAsia" w:hAnsiTheme="minorEastAsia" w:eastAsiaTheme="minorEastAsia"/>
          <w:bCs w:val="0"/>
          <w:spacing w:val="0"/>
          <w:kern w:val="2"/>
        </w:rPr>
        <w:t>储罐</w:t>
      </w:r>
      <w:r>
        <w:rPr>
          <w:rFonts w:hint="eastAsia" w:cs="Times New Roman" w:asciiTheme="minorEastAsia" w:hAnsiTheme="minorEastAsia" w:eastAsiaTheme="minorEastAsia"/>
          <w:kern w:val="2"/>
        </w:rPr>
        <w:t>用材料</w:t>
      </w:r>
      <w:r>
        <w:rPr>
          <w:rFonts w:hint="eastAsia" w:cs="Times New Roman" w:asciiTheme="minorEastAsia" w:hAnsiTheme="minorEastAsia" w:eastAsiaTheme="minorEastAsia"/>
          <w:bCs w:val="0"/>
          <w:spacing w:val="0"/>
          <w:kern w:val="2"/>
        </w:rPr>
        <w:t>验收标准；</w:t>
      </w:r>
    </w:p>
    <w:p>
      <w:pPr>
        <w:pStyle w:val="46"/>
        <w:autoSpaceDE w:val="0"/>
        <w:autoSpaceDN w:val="0"/>
        <w:adjustRightInd/>
        <w:spacing w:line="360" w:lineRule="auto"/>
        <w:ind w:firstLine="420"/>
        <w:jc w:val="both"/>
        <w:rPr>
          <w:rFonts w:cs="Times New Roman" w:asciiTheme="minorEastAsia" w:hAnsiTheme="minorEastAsia" w:eastAsiaTheme="minorEastAsia"/>
          <w:bCs w:val="0"/>
          <w:spacing w:val="0"/>
          <w:kern w:val="2"/>
        </w:rPr>
      </w:pPr>
      <w:r>
        <w:rPr>
          <w:rFonts w:cs="Times New Roman" w:asciiTheme="minorEastAsia" w:hAnsiTheme="minorEastAsia" w:eastAsiaTheme="minorEastAsia"/>
          <w:bCs w:val="0"/>
          <w:spacing w:val="0"/>
          <w:kern w:val="2"/>
        </w:rPr>
        <w:t>LNG</w:t>
      </w:r>
      <w:r>
        <w:rPr>
          <w:rFonts w:hint="eastAsia" w:cs="Times New Roman" w:asciiTheme="minorEastAsia" w:hAnsiTheme="minorEastAsia" w:eastAsiaTheme="minorEastAsia"/>
          <w:bCs w:val="0"/>
          <w:spacing w:val="0"/>
          <w:kern w:val="2"/>
        </w:rPr>
        <w:t>储罐</w:t>
      </w:r>
      <w:r>
        <w:rPr>
          <w:rFonts w:hint="eastAsia" w:cs="Times New Roman" w:asciiTheme="minorEastAsia" w:hAnsiTheme="minorEastAsia" w:eastAsiaTheme="minorEastAsia"/>
          <w:kern w:val="2"/>
        </w:rPr>
        <w:t>用埋弧焊接材料</w:t>
      </w:r>
      <w:r>
        <w:rPr>
          <w:rFonts w:hint="eastAsia" w:cs="Times New Roman" w:asciiTheme="minorEastAsia" w:hAnsiTheme="minorEastAsia" w:eastAsiaTheme="minorEastAsia"/>
          <w:bCs w:val="0"/>
          <w:spacing w:val="0"/>
          <w:kern w:val="2"/>
        </w:rPr>
        <w:t>储存、保管和使用；</w:t>
      </w:r>
    </w:p>
    <w:p>
      <w:pPr>
        <w:pStyle w:val="46"/>
        <w:autoSpaceDE w:val="0"/>
        <w:autoSpaceDN w:val="0"/>
        <w:adjustRightInd/>
        <w:spacing w:line="360" w:lineRule="auto"/>
        <w:ind w:firstLine="420"/>
        <w:jc w:val="both"/>
        <w:rPr>
          <w:rFonts w:cs="Times New Roman" w:asciiTheme="minorEastAsia" w:hAnsiTheme="minorEastAsia" w:eastAsiaTheme="minorEastAsia"/>
          <w:bCs w:val="0"/>
          <w:spacing w:val="0"/>
          <w:kern w:val="2"/>
        </w:rPr>
      </w:pPr>
      <w:r>
        <w:rPr>
          <w:rFonts w:cs="Times New Roman" w:asciiTheme="minorEastAsia" w:hAnsiTheme="minorEastAsia" w:eastAsiaTheme="minorEastAsia"/>
          <w:bCs w:val="0"/>
          <w:spacing w:val="0"/>
          <w:kern w:val="2"/>
        </w:rPr>
        <w:t>LNG</w:t>
      </w:r>
      <w:r>
        <w:rPr>
          <w:rFonts w:hint="eastAsia" w:cs="Times New Roman" w:asciiTheme="minorEastAsia" w:hAnsiTheme="minorEastAsia" w:eastAsiaTheme="minorEastAsia"/>
          <w:bCs w:val="0"/>
          <w:spacing w:val="0"/>
          <w:kern w:val="2"/>
        </w:rPr>
        <w:t>储罐埋弧焊接工艺要点；</w:t>
      </w:r>
    </w:p>
    <w:p>
      <w:pPr>
        <w:pStyle w:val="46"/>
        <w:autoSpaceDE w:val="0"/>
        <w:autoSpaceDN w:val="0"/>
        <w:adjustRightInd/>
        <w:spacing w:line="360" w:lineRule="auto"/>
        <w:ind w:firstLine="420"/>
        <w:jc w:val="both"/>
        <w:rPr>
          <w:rFonts w:cs="Times New Roman" w:asciiTheme="minorEastAsia" w:hAnsiTheme="minorEastAsia" w:eastAsiaTheme="minorEastAsia"/>
          <w:bCs w:val="0"/>
          <w:spacing w:val="0"/>
          <w:kern w:val="2"/>
        </w:rPr>
      </w:pPr>
      <w:r>
        <w:rPr>
          <w:rFonts w:cs="Times New Roman" w:asciiTheme="minorEastAsia" w:hAnsiTheme="minorEastAsia" w:eastAsiaTheme="minorEastAsia"/>
          <w:bCs w:val="0"/>
          <w:spacing w:val="0"/>
          <w:kern w:val="2"/>
        </w:rPr>
        <w:t>LNG</w:t>
      </w:r>
      <w:r>
        <w:rPr>
          <w:rFonts w:hint="eastAsia" w:cs="Times New Roman" w:asciiTheme="minorEastAsia" w:hAnsiTheme="minorEastAsia" w:eastAsiaTheme="minorEastAsia"/>
          <w:bCs w:val="0"/>
          <w:spacing w:val="0"/>
          <w:kern w:val="2"/>
        </w:rPr>
        <w:t>储罐</w:t>
      </w:r>
      <w:r>
        <w:rPr>
          <w:rFonts w:hint="eastAsia" w:cs="Times New Roman" w:asciiTheme="minorEastAsia" w:hAnsiTheme="minorEastAsia" w:eastAsiaTheme="minorEastAsia"/>
          <w:kern w:val="2"/>
        </w:rPr>
        <w:t>用埋弧</w:t>
      </w:r>
      <w:r>
        <w:rPr>
          <w:rFonts w:hint="eastAsia" w:cs="Times New Roman" w:asciiTheme="minorEastAsia" w:hAnsiTheme="minorEastAsia" w:eastAsiaTheme="minorEastAsia"/>
          <w:bCs w:val="0"/>
          <w:spacing w:val="0"/>
          <w:kern w:val="2"/>
        </w:rPr>
        <w:t>焊接质量检验标准；</w:t>
      </w:r>
    </w:p>
    <w:p>
      <w:pPr>
        <w:pStyle w:val="46"/>
        <w:autoSpaceDE w:val="0"/>
        <w:autoSpaceDN w:val="0"/>
        <w:adjustRightInd/>
        <w:spacing w:line="360" w:lineRule="auto"/>
        <w:ind w:firstLine="420"/>
        <w:jc w:val="both"/>
        <w:rPr>
          <w:rFonts w:cs="Times New Roman" w:asciiTheme="minorEastAsia" w:hAnsiTheme="minorEastAsia" w:eastAsiaTheme="minorEastAsia"/>
          <w:bCs w:val="0"/>
          <w:spacing w:val="0"/>
          <w:kern w:val="2"/>
        </w:rPr>
      </w:pPr>
      <w:r>
        <w:rPr>
          <w:rFonts w:hint="eastAsia" w:cs="Times New Roman" w:asciiTheme="minorEastAsia" w:hAnsiTheme="minorEastAsia" w:eastAsiaTheme="minorEastAsia"/>
          <w:bCs w:val="0"/>
          <w:spacing w:val="0"/>
          <w:kern w:val="2"/>
        </w:rPr>
        <w:t>本文件由中石化第十</w:t>
      </w:r>
      <w:r>
        <w:rPr>
          <w:rFonts w:hint="eastAsia" w:cs="Times New Roman" w:asciiTheme="minorEastAsia" w:hAnsiTheme="minorEastAsia" w:eastAsiaTheme="minorEastAsia"/>
          <w:bCs w:val="0"/>
          <w:spacing w:val="0"/>
          <w:kern w:val="2"/>
          <w:lang w:val="en-US" w:eastAsia="zh-CN"/>
        </w:rPr>
        <w:t>建设</w:t>
      </w:r>
      <w:r>
        <w:rPr>
          <w:rFonts w:hint="eastAsia" w:cs="Times New Roman" w:asciiTheme="minorEastAsia" w:hAnsiTheme="minorEastAsia" w:eastAsiaTheme="minorEastAsia"/>
          <w:bCs w:val="0"/>
          <w:spacing w:val="0"/>
          <w:kern w:val="2"/>
        </w:rPr>
        <w:t>有限公司提出。</w:t>
      </w:r>
    </w:p>
    <w:p>
      <w:pPr>
        <w:pStyle w:val="46"/>
        <w:autoSpaceDE w:val="0"/>
        <w:autoSpaceDN w:val="0"/>
        <w:adjustRightInd/>
        <w:spacing w:line="360" w:lineRule="auto"/>
        <w:ind w:firstLine="420"/>
        <w:jc w:val="both"/>
        <w:rPr>
          <w:rFonts w:cs="Times New Roman" w:asciiTheme="minorEastAsia" w:hAnsiTheme="minorEastAsia" w:eastAsiaTheme="minorEastAsia"/>
          <w:bCs w:val="0"/>
          <w:spacing w:val="0"/>
          <w:kern w:val="2"/>
        </w:rPr>
      </w:pPr>
      <w:r>
        <w:rPr>
          <w:rFonts w:hint="eastAsia" w:cs="Times New Roman" w:asciiTheme="minorEastAsia" w:hAnsiTheme="minorEastAsia" w:eastAsiaTheme="minorEastAsia"/>
          <w:bCs w:val="0"/>
          <w:spacing w:val="0"/>
          <w:kern w:val="2"/>
        </w:rPr>
        <w:t>本文件由山东省特种设备协会归口。</w:t>
      </w:r>
    </w:p>
    <w:p>
      <w:pPr>
        <w:spacing w:line="360" w:lineRule="auto"/>
        <w:ind w:firstLine="420" w:firstLineChars="200"/>
        <w:rPr>
          <w:rFonts w:cs="Times New Roman" w:asciiTheme="minorEastAsia" w:hAnsiTheme="minorEastAsia" w:eastAsiaTheme="minorEastAsia"/>
          <w:bCs/>
        </w:rPr>
      </w:pPr>
      <w:r>
        <w:rPr>
          <w:rFonts w:hint="eastAsia" w:cs="Times New Roman" w:asciiTheme="minorEastAsia" w:hAnsiTheme="minorEastAsia" w:eastAsiaTheme="minorEastAsia"/>
          <w:bCs/>
        </w:rPr>
        <w:t>本文件起草单位：</w:t>
      </w:r>
    </w:p>
    <w:p>
      <w:pPr>
        <w:pStyle w:val="101"/>
        <w:spacing w:line="360" w:lineRule="auto"/>
        <w:ind w:firstLine="420"/>
      </w:pPr>
      <w:r>
        <w:rPr>
          <w:rFonts w:hint="eastAsia"/>
        </w:rPr>
        <w:t>本文件主要起草人：</w:t>
      </w:r>
    </w:p>
    <w:p>
      <w:pPr>
        <w:pStyle w:val="101"/>
        <w:spacing w:line="360" w:lineRule="auto"/>
        <w:ind w:firstLine="420"/>
      </w:pPr>
      <w:r>
        <w:rPr>
          <w:rFonts w:hint="eastAsia"/>
        </w:rPr>
        <w:t>本标准审查人员：</w:t>
      </w:r>
    </w:p>
    <w:p>
      <w:pPr>
        <w:jc w:val="center"/>
        <w:rPr>
          <w:rFonts w:ascii="宋体" w:hAnsi="宋体"/>
          <w:b/>
        </w:rPr>
      </w:pPr>
    </w:p>
    <w:p>
      <w:pPr>
        <w:widowControl/>
        <w:spacing w:line="360" w:lineRule="auto"/>
        <w:jc w:val="center"/>
        <w:rPr>
          <w:rFonts w:ascii="宋体" w:hAnsi="宋体"/>
          <w:b/>
          <w:sz w:val="24"/>
        </w:rPr>
      </w:pPr>
      <w:r>
        <w:rPr>
          <w:rFonts w:ascii="宋体" w:hAnsi="宋体"/>
          <w:b/>
        </w:rPr>
        <w:br w:type="page"/>
      </w:r>
      <w:bookmarkStart w:id="1" w:name="_Toc243795499"/>
      <w:bookmarkStart w:id="2" w:name="_Toc248210374"/>
      <w:bookmarkStart w:id="3" w:name="_Toc243366245"/>
      <w:r>
        <w:rPr>
          <w:rFonts w:hint="eastAsia" w:ascii="黑体" w:hAnsi="黑体" w:eastAsia="黑体"/>
          <w:bCs/>
          <w:sz w:val="32"/>
          <w:szCs w:val="32"/>
        </w:rPr>
        <w:t>全容式LNG储罐内罐9%Ni钢埋弧焊技术标准</w:t>
      </w:r>
    </w:p>
    <w:bookmarkEnd w:id="1"/>
    <w:bookmarkEnd w:id="2"/>
    <w:bookmarkEnd w:id="3"/>
    <w:p>
      <w:pPr>
        <w:pStyle w:val="2"/>
        <w:spacing w:before="120" w:after="120" w:line="360" w:lineRule="auto"/>
      </w:pPr>
      <w:bookmarkStart w:id="4" w:name="_Toc159410662"/>
      <w:bookmarkStart w:id="5" w:name="_Toc136765850"/>
      <w:r>
        <w:rPr>
          <w:rFonts w:hint="eastAsia"/>
        </w:rPr>
        <w:t>1  范</w:t>
      </w:r>
      <w:r>
        <w:t>围</w:t>
      </w:r>
      <w:bookmarkEnd w:id="4"/>
      <w:bookmarkEnd w:id="5"/>
      <w:r>
        <w:t xml:space="preserve"> </w:t>
      </w:r>
    </w:p>
    <w:p>
      <w:pPr>
        <w:spacing w:line="360" w:lineRule="auto"/>
        <w:ind w:firstLine="420" w:firstLineChars="200"/>
      </w:pPr>
      <w:r>
        <w:rPr>
          <w:rFonts w:hint="eastAsia"/>
        </w:rPr>
        <w:t>本标准规定了全容式LNG储罐内罐9%Ni埋弧焊的材料、焊工、焊接工艺评定及焊接工艺规程、焊接环境、焊接施工、焊接质量检测等要求。</w:t>
      </w:r>
    </w:p>
    <w:p>
      <w:pPr>
        <w:spacing w:line="360" w:lineRule="auto"/>
        <w:ind w:firstLine="420" w:firstLineChars="200"/>
      </w:pPr>
      <w:r>
        <w:rPr>
          <w:rFonts w:hint="eastAsia"/>
        </w:rPr>
        <w:t>本标准适用于全容式LNG储罐内罐9%Ni钢壁板环焊缝、底板边缘板对接焊缝、大角焊缝、预制阶段加强圈角焊缝等部位的埋弧焊接施工。</w:t>
      </w:r>
    </w:p>
    <w:p>
      <w:pPr>
        <w:pStyle w:val="2"/>
        <w:spacing w:before="120" w:after="120" w:line="360" w:lineRule="auto"/>
      </w:pPr>
      <w:bookmarkStart w:id="6" w:name="_Toc159410663"/>
      <w:bookmarkStart w:id="7" w:name="_Toc136765851"/>
      <w:r>
        <w:rPr>
          <w:rFonts w:hint="eastAsia"/>
        </w:rPr>
        <w:t>2</w:t>
      </w:r>
      <w:r>
        <w:t xml:space="preserve">  规范性引用文件</w:t>
      </w:r>
      <w:bookmarkEnd w:id="6"/>
      <w:bookmarkEnd w:id="7"/>
    </w:p>
    <w:p>
      <w:pPr>
        <w:spacing w:line="360" w:lineRule="auto"/>
        <w:ind w:firstLine="420" w:firstLineChars="200"/>
        <w:rPr>
          <w:rFonts w:asciiTheme="minorEastAsia" w:hAnsiTheme="minorEastAsia"/>
        </w:rPr>
      </w:pPr>
      <w:r>
        <w:rPr>
          <w:rFonts w:asciiTheme="minorEastAsia" w:hAnsiTheme="minor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firstLine="420" w:firstLineChars="200"/>
        <w:jc w:val="left"/>
        <w:rPr>
          <w:rFonts w:asciiTheme="minorEastAsia" w:hAnsiTheme="minorEastAsia"/>
        </w:rPr>
      </w:pPr>
      <w:r>
        <w:rPr>
          <w:rFonts w:hint="eastAsia" w:asciiTheme="minorEastAsia" w:hAnsiTheme="minorEastAsia"/>
        </w:rPr>
        <w:t>GB 50128 立式圆筒形钢制焊接储罐施工及验收规范</w:t>
      </w:r>
    </w:p>
    <w:p>
      <w:pPr>
        <w:spacing w:line="360" w:lineRule="auto"/>
        <w:ind w:firstLine="420" w:firstLineChars="200"/>
        <w:jc w:val="left"/>
        <w:rPr>
          <w:rFonts w:asciiTheme="minorEastAsia" w:hAnsiTheme="minorEastAsia"/>
        </w:rPr>
      </w:pPr>
      <w:r>
        <w:rPr>
          <w:rFonts w:hint="eastAsia" w:asciiTheme="minorEastAsia" w:hAnsiTheme="minorEastAsia"/>
        </w:rPr>
        <w:t>GB/T 15620 镍及镍合金焊丝</w:t>
      </w:r>
    </w:p>
    <w:p>
      <w:pPr>
        <w:spacing w:line="360" w:lineRule="auto"/>
        <w:ind w:firstLine="420" w:firstLineChars="200"/>
        <w:jc w:val="left"/>
        <w:rPr>
          <w:rFonts w:asciiTheme="minorEastAsia" w:hAnsiTheme="minorEastAsia"/>
        </w:rPr>
      </w:pPr>
      <w:r>
        <w:rPr>
          <w:rFonts w:hint="eastAsia" w:asciiTheme="minorEastAsia" w:hAnsiTheme="minorEastAsia"/>
        </w:rPr>
        <w:t>GB/T 24510 低温压力容器用镍合金钢板</w:t>
      </w:r>
    </w:p>
    <w:p>
      <w:pPr>
        <w:spacing w:line="360" w:lineRule="auto"/>
        <w:ind w:firstLine="420" w:firstLineChars="200"/>
        <w:jc w:val="left"/>
        <w:rPr>
          <w:rFonts w:asciiTheme="minorEastAsia" w:hAnsiTheme="minorEastAsia"/>
        </w:rPr>
      </w:pPr>
      <w:r>
        <w:rPr>
          <w:rFonts w:asciiTheme="minorEastAsia" w:hAnsiTheme="minorEastAsia"/>
        </w:rPr>
        <w:t>NB/T 47013 承压设备无损检测</w:t>
      </w:r>
    </w:p>
    <w:p>
      <w:pPr>
        <w:spacing w:line="360" w:lineRule="auto"/>
        <w:ind w:firstLine="420" w:firstLineChars="200"/>
        <w:jc w:val="left"/>
        <w:rPr>
          <w:rFonts w:asciiTheme="minorEastAsia" w:hAnsiTheme="minorEastAsia"/>
        </w:rPr>
      </w:pPr>
      <w:r>
        <w:rPr>
          <w:rFonts w:asciiTheme="minorEastAsia" w:hAnsiTheme="minorEastAsia"/>
        </w:rPr>
        <w:t>NB/T 47014 承压设备焊接工艺评定</w:t>
      </w:r>
    </w:p>
    <w:p>
      <w:pPr>
        <w:spacing w:line="360" w:lineRule="auto"/>
        <w:ind w:firstLine="420" w:firstLineChars="200"/>
        <w:jc w:val="left"/>
        <w:rPr>
          <w:rFonts w:asciiTheme="minorEastAsia" w:hAnsiTheme="minorEastAsia"/>
        </w:rPr>
      </w:pPr>
      <w:r>
        <w:rPr>
          <w:rFonts w:asciiTheme="minorEastAsia" w:hAnsiTheme="minorEastAsia"/>
        </w:rPr>
        <w:t>NB/T 47018 承压设备用焊接材料订货技术条件</w:t>
      </w:r>
    </w:p>
    <w:p>
      <w:pPr>
        <w:spacing w:line="360" w:lineRule="auto"/>
        <w:ind w:firstLine="420" w:firstLineChars="200"/>
        <w:jc w:val="left"/>
        <w:rPr>
          <w:rFonts w:asciiTheme="minorEastAsia" w:hAnsiTheme="minorEastAsia"/>
        </w:rPr>
      </w:pPr>
      <w:r>
        <w:rPr>
          <w:rFonts w:asciiTheme="minorEastAsia" w:hAnsiTheme="minorEastAsia"/>
        </w:rPr>
        <w:t>TSG Z6002 特种设备焊接操作人员考核细则</w:t>
      </w:r>
    </w:p>
    <w:p>
      <w:pPr>
        <w:spacing w:line="360" w:lineRule="auto"/>
        <w:ind w:firstLine="420" w:firstLineChars="200"/>
        <w:jc w:val="left"/>
        <w:rPr>
          <w:rFonts w:asciiTheme="minorEastAsia" w:hAnsiTheme="minorEastAsia"/>
        </w:rPr>
      </w:pPr>
      <w:r>
        <w:rPr>
          <w:rFonts w:asciiTheme="minorEastAsia" w:hAnsiTheme="minorEastAsia"/>
        </w:rPr>
        <w:t>JB/T 3223 焊接材料质量管理规程</w:t>
      </w:r>
    </w:p>
    <w:p>
      <w:pPr>
        <w:spacing w:line="360" w:lineRule="auto"/>
        <w:ind w:firstLine="420" w:firstLineChars="200"/>
        <w:jc w:val="left"/>
        <w:rPr>
          <w:rFonts w:asciiTheme="minorEastAsia" w:hAnsiTheme="minorEastAsia"/>
        </w:rPr>
      </w:pPr>
      <w:r>
        <w:rPr>
          <w:rFonts w:hint="eastAsia" w:asciiTheme="minorEastAsia" w:hAnsiTheme="minorEastAsia"/>
        </w:rPr>
        <w:t>ASME / AWS A5.14 Specification for nickel and nickel-alloy bare welding electrodes and rods</w:t>
      </w:r>
    </w:p>
    <w:p>
      <w:pPr>
        <w:spacing w:line="360" w:lineRule="auto"/>
        <w:ind w:firstLine="420" w:firstLineChars="200"/>
        <w:jc w:val="left"/>
        <w:rPr>
          <w:rFonts w:asciiTheme="minorEastAsia" w:hAnsiTheme="minorEastAsia"/>
        </w:rPr>
      </w:pPr>
      <w:r>
        <w:rPr>
          <w:rFonts w:hint="eastAsia" w:asciiTheme="minorEastAsia" w:hAnsiTheme="minorEastAsia"/>
        </w:rPr>
        <w:t>ISO 18274 Welding consumables——Solid wire electrode, solid strip electrodes, solid wire and solid rods for fusion welding of nickle and nickle alloys——classification</w:t>
      </w:r>
    </w:p>
    <w:p>
      <w:pPr>
        <w:pStyle w:val="2"/>
        <w:spacing w:before="120" w:after="120" w:line="360" w:lineRule="auto"/>
      </w:pPr>
      <w:bookmarkStart w:id="8" w:name="_Toc159410664"/>
      <w:bookmarkStart w:id="9" w:name="_Toc136765852"/>
      <w:r>
        <w:t>3  术语和定义</w:t>
      </w:r>
      <w:bookmarkEnd w:id="8"/>
      <w:bookmarkEnd w:id="9"/>
      <w:r>
        <w:t xml:space="preserve"> </w:t>
      </w:r>
    </w:p>
    <w:p>
      <w:pPr>
        <w:spacing w:line="360" w:lineRule="auto"/>
        <w:rPr>
          <w:rFonts w:asciiTheme="minorEastAsia" w:hAnsiTheme="minorEastAsia"/>
        </w:rPr>
      </w:pPr>
      <w:r>
        <w:rPr>
          <w:rFonts w:asciiTheme="minorEastAsia" w:hAnsiTheme="minorEastAsia"/>
        </w:rPr>
        <w:t>3.1</w:t>
      </w:r>
    </w:p>
    <w:p>
      <w:pPr>
        <w:spacing w:line="360" w:lineRule="auto"/>
        <w:ind w:firstLine="420" w:firstLineChars="200"/>
        <w:rPr>
          <w:rFonts w:asciiTheme="minorEastAsia" w:hAnsiTheme="minorEastAsia"/>
        </w:rPr>
      </w:pPr>
      <w:r>
        <w:rPr>
          <w:rFonts w:hint="eastAsia" w:asciiTheme="minorEastAsia" w:hAnsiTheme="minorEastAsia"/>
        </w:rPr>
        <w:t>大角焊缝</w:t>
      </w:r>
    </w:p>
    <w:p>
      <w:pPr>
        <w:spacing w:line="360" w:lineRule="auto"/>
        <w:ind w:firstLine="420" w:firstLineChars="200"/>
        <w:rPr>
          <w:rFonts w:asciiTheme="minorEastAsia" w:hAnsiTheme="minorEastAsia"/>
        </w:rPr>
      </w:pPr>
      <w:r>
        <w:rPr>
          <w:rFonts w:hint="eastAsia" w:asciiTheme="minorEastAsia" w:hAnsiTheme="minorEastAsia"/>
        </w:rPr>
        <w:t>内罐壁板与底板边缘板形成的角焊缝</w:t>
      </w:r>
    </w:p>
    <w:p>
      <w:pPr>
        <w:spacing w:line="360" w:lineRule="auto"/>
        <w:rPr>
          <w:rFonts w:asciiTheme="minorEastAsia" w:hAnsiTheme="minorEastAsia"/>
        </w:rPr>
      </w:pPr>
      <w:r>
        <w:rPr>
          <w:rFonts w:hint="eastAsia" w:asciiTheme="minorEastAsia" w:hAnsiTheme="minorEastAsia"/>
        </w:rPr>
        <w:t>3</w:t>
      </w:r>
      <w:r>
        <w:rPr>
          <w:rFonts w:asciiTheme="minorEastAsia" w:hAnsiTheme="minorEastAsia"/>
        </w:rPr>
        <w:t>.2</w:t>
      </w:r>
    </w:p>
    <w:p>
      <w:pPr>
        <w:spacing w:line="360" w:lineRule="auto"/>
        <w:ind w:firstLine="420" w:firstLineChars="200"/>
        <w:rPr>
          <w:rFonts w:asciiTheme="minorEastAsia" w:hAnsiTheme="minorEastAsia"/>
        </w:rPr>
      </w:pPr>
      <w:r>
        <w:rPr>
          <w:rFonts w:hint="eastAsia" w:asciiTheme="minorEastAsia" w:hAnsiTheme="minorEastAsia"/>
        </w:rPr>
        <w:t>焊丝角度</w:t>
      </w:r>
    </w:p>
    <w:p>
      <w:pPr>
        <w:spacing w:line="360" w:lineRule="auto"/>
        <w:ind w:firstLine="420" w:firstLineChars="200"/>
        <w:rPr>
          <w:rFonts w:asciiTheme="minorEastAsia" w:hAnsiTheme="minorEastAsia"/>
        </w:rPr>
      </w:pPr>
      <w:r>
        <w:rPr>
          <w:rFonts w:hint="eastAsia" w:asciiTheme="minorEastAsia" w:hAnsiTheme="minorEastAsia"/>
        </w:rPr>
        <w:t>埋弧焊丝与水平面的夹角。</w:t>
      </w:r>
    </w:p>
    <w:p>
      <w:pPr>
        <w:spacing w:line="360" w:lineRule="auto"/>
        <w:rPr>
          <w:rFonts w:asciiTheme="minorEastAsia" w:hAnsiTheme="minorEastAsia"/>
        </w:rPr>
      </w:pPr>
    </w:p>
    <w:p>
      <w:pPr>
        <w:pStyle w:val="2"/>
        <w:spacing w:before="120" w:after="120" w:line="360" w:lineRule="auto"/>
      </w:pPr>
      <w:bookmarkStart w:id="10" w:name="_Toc136765853"/>
      <w:bookmarkStart w:id="11" w:name="_Toc159410665"/>
      <w:r>
        <w:t xml:space="preserve">4  </w:t>
      </w:r>
      <w:bookmarkEnd w:id="10"/>
      <w:r>
        <w:rPr>
          <w:rFonts w:hint="eastAsia"/>
        </w:rPr>
        <w:t>材料</w:t>
      </w:r>
      <w:bookmarkEnd w:id="11"/>
    </w:p>
    <w:p>
      <w:pPr>
        <w:pStyle w:val="3"/>
        <w:spacing w:line="360" w:lineRule="auto"/>
        <w:rPr>
          <w:rFonts w:ascii="Times New Roman" w:hAnsi="Times New Roman" w:cs="Times New Roman"/>
        </w:rPr>
      </w:pPr>
      <w:bookmarkStart w:id="12" w:name="_Toc159410666"/>
      <w:r>
        <w:rPr>
          <w:rFonts w:ascii="Times New Roman" w:hAnsi="Times New Roman" w:cs="Times New Roman"/>
        </w:rPr>
        <w:t xml:space="preserve">4.1 </w:t>
      </w:r>
      <w:r>
        <w:rPr>
          <w:rFonts w:hint="eastAsia" w:ascii="Times New Roman" w:hAnsi="Times New Roman" w:cs="Times New Roman"/>
        </w:rPr>
        <w:t>钢板</w:t>
      </w:r>
      <w:bookmarkEnd w:id="12"/>
    </w:p>
    <w:p>
      <w:pPr>
        <w:spacing w:line="360" w:lineRule="auto"/>
        <w:rPr>
          <w:rFonts w:asciiTheme="minorEastAsia" w:hAnsiTheme="minorEastAsia"/>
        </w:rPr>
      </w:pPr>
      <w:r>
        <w:rPr>
          <w:rFonts w:hint="eastAsia" w:asciiTheme="minorEastAsia" w:hAnsiTheme="minorEastAsia"/>
        </w:rPr>
        <w:t>4.1.1 9%Ni钢板应具有质量证明文件，且应符合GB/T 24510和设计文件的要求。</w:t>
      </w:r>
    </w:p>
    <w:p>
      <w:pPr>
        <w:spacing w:line="360" w:lineRule="auto"/>
        <w:rPr>
          <w:rFonts w:asciiTheme="minorEastAsia" w:hAnsiTheme="minorEastAsia"/>
        </w:rPr>
      </w:pPr>
      <w:r>
        <w:rPr>
          <w:rFonts w:hint="eastAsia" w:asciiTheme="minorEastAsia" w:hAnsiTheme="minorEastAsia"/>
        </w:rPr>
        <w:t>4.1.2 9%Ni钢板的炼制方法及供货热处理状态，应符合供货技术条件要求。</w:t>
      </w:r>
    </w:p>
    <w:p>
      <w:pPr>
        <w:spacing w:line="360" w:lineRule="auto"/>
        <w:rPr>
          <w:rFonts w:asciiTheme="minorEastAsia" w:hAnsiTheme="minorEastAsia"/>
        </w:rPr>
      </w:pPr>
      <w:r>
        <w:rPr>
          <w:rFonts w:hint="eastAsia" w:asciiTheme="minorEastAsia" w:hAnsiTheme="minorEastAsia"/>
        </w:rPr>
        <w:t xml:space="preserve">4.1.3 </w:t>
      </w:r>
      <w:r>
        <w:rPr>
          <w:rFonts w:asciiTheme="minorEastAsia" w:hAnsiTheme="minorEastAsia"/>
        </w:rPr>
        <w:t>钢板应逐张进行外观质量检查，</w:t>
      </w:r>
      <w:r>
        <w:rPr>
          <w:rFonts w:hint="eastAsia" w:asciiTheme="minorEastAsia" w:hAnsiTheme="minorEastAsia"/>
        </w:rPr>
        <w:t>超标缺陷不允许补焊。当对未超标缺陷进行修磨处理时，应保证缺陷清理处圆滑过渡。</w:t>
      </w:r>
    </w:p>
    <w:p>
      <w:pPr>
        <w:spacing w:line="360" w:lineRule="auto"/>
        <w:rPr>
          <w:rFonts w:asciiTheme="minorEastAsia" w:hAnsiTheme="minorEastAsia"/>
        </w:rPr>
      </w:pPr>
      <w:r>
        <w:rPr>
          <w:rFonts w:hint="eastAsia" w:asciiTheme="minorEastAsia" w:hAnsiTheme="minorEastAsia"/>
        </w:rPr>
        <w:t>4.1.4 钢板出厂前应检查其剩磁量，钢板任意位置剩磁量均不应大于30高斯。</w:t>
      </w:r>
    </w:p>
    <w:p>
      <w:pPr>
        <w:spacing w:line="360" w:lineRule="auto"/>
        <w:rPr>
          <w:rFonts w:asciiTheme="minorEastAsia" w:hAnsiTheme="minorEastAsia"/>
        </w:rPr>
      </w:pPr>
      <w:r>
        <w:rPr>
          <w:rFonts w:hint="eastAsia" w:asciiTheme="minorEastAsia" w:hAnsiTheme="minorEastAsia"/>
        </w:rPr>
        <w:t>4.1.5 钢板不应采用电磁铁调运，不宜存放在高压电缆附近等容易引起剩磁的环境中，钢板安装前剩磁强度不应大于50高斯。</w:t>
      </w:r>
    </w:p>
    <w:p>
      <w:pPr>
        <w:spacing w:line="360" w:lineRule="auto"/>
        <w:rPr>
          <w:rFonts w:asciiTheme="minorEastAsia" w:hAnsiTheme="minorEastAsia"/>
        </w:rPr>
      </w:pPr>
      <w:r>
        <w:rPr>
          <w:rFonts w:hint="eastAsia" w:asciiTheme="minorEastAsia" w:hAnsiTheme="minorEastAsia"/>
        </w:rPr>
        <w:t>4.1.6 钢板使用前应按照设计技术条件要求进行复验。</w:t>
      </w:r>
    </w:p>
    <w:p>
      <w:pPr>
        <w:spacing w:line="360" w:lineRule="auto"/>
        <w:rPr>
          <w:rFonts w:asciiTheme="minorEastAsia" w:hAnsiTheme="minorEastAsia"/>
        </w:rPr>
      </w:pPr>
      <w:r>
        <w:rPr>
          <w:rFonts w:hint="eastAsia" w:asciiTheme="minorEastAsia" w:hAnsiTheme="minorEastAsia"/>
        </w:rPr>
        <w:t xml:space="preserve">4.1.7 </w:t>
      </w:r>
      <w:r>
        <w:rPr>
          <w:rFonts w:asciiTheme="minorEastAsia" w:hAnsiTheme="minorEastAsia"/>
        </w:rPr>
        <w:t>验收合格的钢板应做好标记，分类存放</w:t>
      </w:r>
      <w:r>
        <w:rPr>
          <w:rFonts w:hint="eastAsia" w:asciiTheme="minorEastAsia" w:hAnsiTheme="minorEastAsia"/>
        </w:rPr>
        <w:t>，并采取防铁素体污染、防止引起剩磁的措施。</w:t>
      </w:r>
    </w:p>
    <w:p>
      <w:pPr>
        <w:pStyle w:val="3"/>
        <w:spacing w:line="360" w:lineRule="auto"/>
        <w:rPr>
          <w:rFonts w:ascii="Times New Roman" w:hAnsi="Times New Roman" w:cs="Times New Roman"/>
        </w:rPr>
      </w:pPr>
      <w:bookmarkStart w:id="13" w:name="_Toc136765855"/>
      <w:bookmarkStart w:id="14" w:name="_Toc159410667"/>
      <w:r>
        <w:rPr>
          <w:rFonts w:hint="eastAsia" w:ascii="Times New Roman" w:hAnsi="Times New Roman" w:cs="Times New Roman"/>
        </w:rPr>
        <w:t>4.2</w:t>
      </w:r>
      <w:r>
        <w:rPr>
          <w:rFonts w:ascii="Times New Roman" w:hAnsi="Times New Roman" w:cs="Times New Roman"/>
        </w:rPr>
        <w:t xml:space="preserve"> </w:t>
      </w:r>
      <w:bookmarkEnd w:id="13"/>
      <w:r>
        <w:rPr>
          <w:rFonts w:hint="eastAsia" w:ascii="Times New Roman" w:hAnsi="Times New Roman" w:cs="Times New Roman"/>
        </w:rPr>
        <w:t>焊接材料</w:t>
      </w:r>
      <w:bookmarkEnd w:id="14"/>
    </w:p>
    <w:p>
      <w:pPr>
        <w:spacing w:line="360" w:lineRule="auto"/>
        <w:rPr>
          <w:rFonts w:asciiTheme="minorEastAsia" w:hAnsiTheme="minorEastAsia"/>
        </w:rPr>
      </w:pPr>
      <w:r>
        <w:rPr>
          <w:rFonts w:hint="eastAsia" w:asciiTheme="minorEastAsia" w:hAnsiTheme="minorEastAsia"/>
        </w:rPr>
        <w:t>4.2</w:t>
      </w:r>
      <w:r>
        <w:rPr>
          <w:rFonts w:asciiTheme="minorEastAsia" w:hAnsiTheme="minorEastAsia"/>
        </w:rPr>
        <w:t xml:space="preserve">.1 </w:t>
      </w:r>
      <w:r>
        <w:rPr>
          <w:rFonts w:hint="eastAsia" w:asciiTheme="minorEastAsia" w:hAnsiTheme="minorEastAsia"/>
        </w:rPr>
        <w:t>埋弧焊材</w:t>
      </w:r>
      <w:r>
        <w:rPr>
          <w:rFonts w:asciiTheme="minorEastAsia" w:hAnsiTheme="minorEastAsia"/>
        </w:rPr>
        <w:t>应符合</w:t>
      </w:r>
      <w:r>
        <w:rPr>
          <w:rFonts w:hint="eastAsia" w:asciiTheme="minorEastAsia" w:hAnsiTheme="minorEastAsia"/>
        </w:rPr>
        <w:t>采购技术条件及相应标准规范的</w:t>
      </w:r>
      <w:r>
        <w:rPr>
          <w:rFonts w:asciiTheme="minorEastAsia" w:hAnsiTheme="minorEastAsia"/>
        </w:rPr>
        <w:t>规定</w:t>
      </w:r>
      <w:r>
        <w:rPr>
          <w:rFonts w:hint="eastAsia" w:asciiTheme="minorEastAsia" w:hAnsiTheme="minorEastAsia"/>
        </w:rPr>
        <w:t>。</w:t>
      </w:r>
    </w:p>
    <w:p>
      <w:pPr>
        <w:spacing w:line="360" w:lineRule="auto"/>
        <w:rPr>
          <w:rFonts w:asciiTheme="minorEastAsia" w:hAnsiTheme="minorEastAsia"/>
        </w:rPr>
      </w:pPr>
      <w:r>
        <w:rPr>
          <w:rFonts w:hint="eastAsia" w:asciiTheme="minorEastAsia" w:hAnsiTheme="minorEastAsia"/>
        </w:rPr>
        <w:t>4.2.2 推荐选用的埋弧焊丝、焊剂型号和规格，国内外镍基埋弧焊丝及焊剂标准型号对照参照附录A。</w:t>
      </w:r>
    </w:p>
    <w:p>
      <w:pPr>
        <w:spacing w:line="360" w:lineRule="auto"/>
        <w:rPr>
          <w:rFonts w:asciiTheme="minorEastAsia" w:hAnsiTheme="minorEastAsia"/>
        </w:rPr>
      </w:pPr>
      <w:bookmarkStart w:id="15" w:name="_Toc136765857"/>
      <w:r>
        <w:rPr>
          <w:rFonts w:hint="eastAsia" w:asciiTheme="minorEastAsia" w:hAnsiTheme="minorEastAsia"/>
        </w:rPr>
        <w:t>4.2</w:t>
      </w:r>
      <w:r>
        <w:rPr>
          <w:rFonts w:asciiTheme="minorEastAsia" w:hAnsiTheme="minorEastAsia"/>
        </w:rPr>
        <w:t>.</w:t>
      </w:r>
      <w:r>
        <w:rPr>
          <w:rFonts w:hint="eastAsia" w:asciiTheme="minorEastAsia" w:hAnsiTheme="minorEastAsia"/>
        </w:rPr>
        <w:t>3</w:t>
      </w:r>
      <w:r>
        <w:rPr>
          <w:rFonts w:asciiTheme="minorEastAsia" w:hAnsiTheme="minorEastAsia"/>
        </w:rPr>
        <w:t xml:space="preserve"> </w:t>
      </w:r>
      <w:r>
        <w:rPr>
          <w:rFonts w:hint="eastAsia" w:asciiTheme="minorEastAsia" w:hAnsiTheme="minorEastAsia"/>
        </w:rPr>
        <w:t>埋弧焊丝和焊剂宜采用同一品牌，</w:t>
      </w:r>
      <w:bookmarkEnd w:id="15"/>
      <w:r>
        <w:rPr>
          <w:rFonts w:hint="eastAsia" w:asciiTheme="minorEastAsia" w:hAnsiTheme="minorEastAsia"/>
        </w:rPr>
        <w:t>并应具有良好的平焊、横焊位置的焊接适应性，</w:t>
      </w:r>
      <w:r>
        <w:rPr>
          <w:rFonts w:asciiTheme="minorEastAsia" w:hAnsiTheme="minorEastAsia"/>
        </w:rPr>
        <w:t>焊丝接头应光滑，</w:t>
      </w:r>
      <w:r>
        <w:rPr>
          <w:rFonts w:hint="eastAsia" w:asciiTheme="minorEastAsia" w:hAnsiTheme="minorEastAsia"/>
        </w:rPr>
        <w:t>并</w:t>
      </w:r>
      <w:r>
        <w:rPr>
          <w:rFonts w:asciiTheme="minorEastAsia" w:hAnsiTheme="minorEastAsia"/>
        </w:rPr>
        <w:t>保证在</w:t>
      </w:r>
      <w:r>
        <w:rPr>
          <w:rFonts w:hint="eastAsia" w:asciiTheme="minorEastAsia" w:hAnsiTheme="minorEastAsia"/>
        </w:rPr>
        <w:t>埋弧</w:t>
      </w:r>
      <w:r>
        <w:rPr>
          <w:rFonts w:asciiTheme="minorEastAsia" w:hAnsiTheme="minorEastAsia"/>
        </w:rPr>
        <w:t>焊机上</w:t>
      </w:r>
      <w:r>
        <w:rPr>
          <w:rFonts w:hint="eastAsia" w:asciiTheme="minorEastAsia" w:hAnsiTheme="minorEastAsia"/>
        </w:rPr>
        <w:t>均匀</w:t>
      </w:r>
      <w:r>
        <w:rPr>
          <w:rFonts w:asciiTheme="minorEastAsia" w:hAnsiTheme="minorEastAsia"/>
        </w:rPr>
        <w:t>连续送丝。</w:t>
      </w:r>
    </w:p>
    <w:p>
      <w:pPr>
        <w:spacing w:line="360" w:lineRule="auto"/>
        <w:rPr>
          <w:rFonts w:asciiTheme="minorEastAsia" w:hAnsiTheme="minorEastAsia"/>
        </w:rPr>
      </w:pPr>
      <w:r>
        <w:rPr>
          <w:rFonts w:hint="eastAsia" w:asciiTheme="minorEastAsia" w:hAnsiTheme="minorEastAsia"/>
        </w:rPr>
        <w:t>4.2.4 埋弧焊材应可直接用于底层焊道，不需焊条电弧焊打底。</w:t>
      </w:r>
    </w:p>
    <w:p>
      <w:pPr>
        <w:spacing w:line="360" w:lineRule="auto"/>
        <w:rPr>
          <w:rFonts w:asciiTheme="minorEastAsia" w:hAnsiTheme="minorEastAsia"/>
        </w:rPr>
      </w:pPr>
      <w:r>
        <w:rPr>
          <w:rFonts w:hint="eastAsia" w:asciiTheme="minorEastAsia" w:hAnsiTheme="minorEastAsia"/>
        </w:rPr>
        <w:t>4.2.5 焊剂的颗粒直径应均匀一致，宜为0.2～2.0mm。</w:t>
      </w:r>
    </w:p>
    <w:p>
      <w:pPr>
        <w:spacing w:line="360" w:lineRule="auto"/>
        <w:rPr>
          <w:rFonts w:asciiTheme="minorEastAsia" w:hAnsiTheme="minorEastAsia"/>
        </w:rPr>
      </w:pPr>
      <w:r>
        <w:rPr>
          <w:rFonts w:hint="eastAsia" w:asciiTheme="minorEastAsia" w:hAnsiTheme="minorEastAsia"/>
        </w:rPr>
        <w:t>4.2.6</w:t>
      </w:r>
      <w:r>
        <w:rPr>
          <w:rFonts w:asciiTheme="minorEastAsia" w:hAnsiTheme="minorEastAsia"/>
        </w:rPr>
        <w:t xml:space="preserve"> </w:t>
      </w:r>
      <w:r>
        <w:rPr>
          <w:rFonts w:hint="eastAsia" w:asciiTheme="minorEastAsia" w:hAnsiTheme="minorEastAsia"/>
        </w:rPr>
        <w:t>焊接材料应经复验合格后方可使用。</w:t>
      </w:r>
    </w:p>
    <w:p>
      <w:pPr>
        <w:spacing w:line="360" w:lineRule="auto"/>
        <w:rPr>
          <w:rFonts w:asciiTheme="minorEastAsia" w:hAnsiTheme="minorEastAsia"/>
        </w:rPr>
      </w:pPr>
      <w:r>
        <w:rPr>
          <w:rFonts w:hint="eastAsia" w:asciiTheme="minorEastAsia" w:hAnsiTheme="minorEastAsia"/>
        </w:rPr>
        <w:t xml:space="preserve">4.2.7 </w:t>
      </w:r>
      <w:r>
        <w:rPr>
          <w:rFonts w:asciiTheme="minorEastAsia" w:hAnsiTheme="minorEastAsia"/>
        </w:rPr>
        <w:t>焊丝存储、保管应符合JB/T 3223的规定。</w:t>
      </w:r>
    </w:p>
    <w:p>
      <w:pPr>
        <w:spacing w:line="360" w:lineRule="auto"/>
        <w:rPr>
          <w:rFonts w:asciiTheme="minorEastAsia" w:hAnsiTheme="minorEastAsia"/>
        </w:rPr>
      </w:pPr>
      <w:r>
        <w:rPr>
          <w:rFonts w:hint="eastAsia" w:asciiTheme="minorEastAsia" w:hAnsiTheme="minorEastAsia"/>
        </w:rPr>
        <w:t>4.2.8 焊剂烘干、保温应按照焊接材料生产商要求进行。</w:t>
      </w:r>
    </w:p>
    <w:p>
      <w:pPr>
        <w:spacing w:line="360" w:lineRule="auto"/>
        <w:rPr>
          <w:rFonts w:asciiTheme="minorEastAsia" w:hAnsiTheme="minorEastAsia"/>
        </w:rPr>
      </w:pPr>
      <w:r>
        <w:rPr>
          <w:rFonts w:hint="eastAsia" w:asciiTheme="minorEastAsia" w:hAnsiTheme="minorEastAsia"/>
        </w:rPr>
        <w:t>4.2.9 当</w:t>
      </w:r>
      <w:r>
        <w:rPr>
          <w:rFonts w:asciiTheme="minorEastAsia" w:hAnsiTheme="minorEastAsia"/>
        </w:rPr>
        <w:t>焊丝表面有</w:t>
      </w:r>
      <w:r>
        <w:rPr>
          <w:rFonts w:hint="eastAsia" w:asciiTheme="minorEastAsia" w:hAnsiTheme="minorEastAsia"/>
        </w:rPr>
        <w:t>锈蚀时，不得</w:t>
      </w:r>
      <w:r>
        <w:rPr>
          <w:rFonts w:asciiTheme="minorEastAsia" w:hAnsiTheme="minorEastAsia"/>
        </w:rPr>
        <w:t>用于焊接。</w:t>
      </w:r>
    </w:p>
    <w:p>
      <w:pPr>
        <w:spacing w:line="360" w:lineRule="auto"/>
        <w:rPr>
          <w:rFonts w:asciiTheme="minorEastAsia" w:hAnsiTheme="minorEastAsia"/>
        </w:rPr>
      </w:pPr>
      <w:r>
        <w:rPr>
          <w:rFonts w:hint="eastAsia" w:asciiTheme="minorEastAsia" w:hAnsiTheme="minorEastAsia"/>
        </w:rPr>
        <w:t xml:space="preserve">4.2.10 </w:t>
      </w:r>
      <w:r>
        <w:rPr>
          <w:rFonts w:asciiTheme="minorEastAsia" w:hAnsiTheme="minorEastAsia"/>
        </w:rPr>
        <w:t>焊丝回收入库时应保证焊丝型号/牌号、批号、规格、回收数量、时间等内容信息完整，内容缺失时应及时进行标识移植。</w:t>
      </w:r>
    </w:p>
    <w:p>
      <w:pPr>
        <w:spacing w:line="360" w:lineRule="auto"/>
        <w:rPr>
          <w:rFonts w:asciiTheme="minorEastAsia" w:hAnsiTheme="minorEastAsia"/>
        </w:rPr>
      </w:pPr>
      <w:r>
        <w:rPr>
          <w:rFonts w:hint="eastAsia" w:asciiTheme="minorEastAsia" w:hAnsiTheme="minorEastAsia"/>
        </w:rPr>
        <w:t>4.2.11 焊剂回收再次使用，应符合以下规定：</w:t>
      </w:r>
    </w:p>
    <w:p>
      <w:pPr>
        <w:spacing w:line="360" w:lineRule="auto"/>
        <w:ind w:firstLine="420" w:firstLineChars="200"/>
        <w:rPr>
          <w:rFonts w:asciiTheme="minorEastAsia" w:hAnsiTheme="minorEastAsia"/>
        </w:rPr>
      </w:pPr>
      <w:r>
        <w:rPr>
          <w:rFonts w:hint="eastAsia" w:asciiTheme="minorEastAsia" w:hAnsiTheme="minorEastAsia"/>
        </w:rPr>
        <w:t>a） 旧焊剂与新焊剂混合后，方可再次使用；</w:t>
      </w:r>
    </w:p>
    <w:p>
      <w:pPr>
        <w:spacing w:line="360" w:lineRule="auto"/>
        <w:ind w:firstLine="420" w:firstLineChars="200"/>
        <w:rPr>
          <w:rFonts w:asciiTheme="minorEastAsia" w:hAnsiTheme="minorEastAsia"/>
        </w:rPr>
      </w:pPr>
      <w:r>
        <w:rPr>
          <w:rFonts w:hint="eastAsia" w:asciiTheme="minorEastAsia" w:hAnsiTheme="minorEastAsia"/>
        </w:rPr>
        <w:t>b） 旧焊剂与新焊剂混合前，筛清除旧焊剂中的焊渣、杂质、细粉等影响焊剂使用效果的杂质；</w:t>
      </w:r>
    </w:p>
    <w:p>
      <w:pPr>
        <w:spacing w:line="360" w:lineRule="auto"/>
        <w:ind w:firstLine="420" w:firstLineChars="200"/>
        <w:rPr>
          <w:rFonts w:asciiTheme="minorEastAsia" w:hAnsiTheme="minorEastAsia"/>
        </w:rPr>
      </w:pPr>
      <w:r>
        <w:rPr>
          <w:rFonts w:hint="eastAsia" w:asciiTheme="minorEastAsia" w:hAnsiTheme="minorEastAsia"/>
        </w:rPr>
        <w:t>c） 新旧焊剂混合后，旧焊剂在混合物中的质量分数宜为30%～50%；</w:t>
      </w:r>
    </w:p>
    <w:p>
      <w:pPr>
        <w:spacing w:line="360" w:lineRule="auto"/>
        <w:ind w:firstLine="420" w:firstLineChars="200"/>
        <w:rPr>
          <w:rFonts w:asciiTheme="minorEastAsia" w:hAnsiTheme="minorEastAsia"/>
        </w:rPr>
      </w:pPr>
      <w:r>
        <w:rPr>
          <w:rFonts w:hint="eastAsia" w:asciiTheme="minorEastAsia" w:hAnsiTheme="minorEastAsia"/>
        </w:rPr>
        <w:t>d） 混合焊剂的颗粒度应符合质量证明书的规定；</w:t>
      </w:r>
    </w:p>
    <w:p>
      <w:pPr>
        <w:spacing w:line="360" w:lineRule="auto"/>
        <w:ind w:firstLine="420" w:firstLineChars="200"/>
        <w:rPr>
          <w:rFonts w:asciiTheme="minorEastAsia" w:hAnsiTheme="minorEastAsia"/>
        </w:rPr>
      </w:pPr>
      <w:r>
        <w:rPr>
          <w:rFonts w:hint="eastAsia" w:asciiTheme="minorEastAsia" w:hAnsiTheme="minorEastAsia"/>
        </w:rPr>
        <w:t>e） 混合焊剂烘干、保温要求与新焊剂相同。</w:t>
      </w:r>
    </w:p>
    <w:p>
      <w:pPr>
        <w:spacing w:line="360" w:lineRule="auto"/>
        <w:rPr>
          <w:rFonts w:asciiTheme="minorEastAsia" w:hAnsiTheme="minorEastAsia"/>
        </w:rPr>
      </w:pPr>
      <w:r>
        <w:rPr>
          <w:rFonts w:hint="eastAsia" w:asciiTheme="minorEastAsia" w:hAnsiTheme="minorEastAsia"/>
        </w:rPr>
        <w:t>4.2.12 埋弧焊剂有效期限为质量证明文件或说明书推荐的使用期限。无推荐时，一般不超过五年。焊剂超期使用时，应由使用方根据实际存放环境、产品特性要求和焊接材料状态等进行评估和确定。</w:t>
      </w:r>
    </w:p>
    <w:p>
      <w:pPr>
        <w:pStyle w:val="2"/>
        <w:spacing w:before="120" w:after="120" w:line="360" w:lineRule="auto"/>
      </w:pPr>
      <w:bookmarkStart w:id="16" w:name="_Toc136765860"/>
      <w:bookmarkStart w:id="17" w:name="_Toc159410668"/>
      <w:r>
        <w:rPr>
          <w:rFonts w:hint="eastAsia"/>
        </w:rPr>
        <w:t>5</w:t>
      </w:r>
      <w:r>
        <w:t xml:space="preserve">  </w:t>
      </w:r>
      <w:bookmarkEnd w:id="16"/>
      <w:r>
        <w:rPr>
          <w:rFonts w:hint="eastAsia"/>
        </w:rPr>
        <w:t>焊接技能操作人员</w:t>
      </w:r>
      <w:bookmarkEnd w:id="17"/>
    </w:p>
    <w:p>
      <w:pPr>
        <w:spacing w:line="360" w:lineRule="auto"/>
        <w:rPr>
          <w:rFonts w:asciiTheme="minorEastAsia" w:hAnsiTheme="minorEastAsia"/>
        </w:rPr>
      </w:pPr>
      <w:r>
        <w:rPr>
          <w:rFonts w:hint="eastAsia" w:asciiTheme="minorEastAsia" w:hAnsiTheme="minorEastAsia"/>
        </w:rPr>
        <w:t>5</w:t>
      </w:r>
      <w:r>
        <w:rPr>
          <w:rFonts w:asciiTheme="minorEastAsia" w:hAnsiTheme="minorEastAsia"/>
        </w:rPr>
        <w:t>.1 从事</w:t>
      </w:r>
      <w:r>
        <w:rPr>
          <w:rFonts w:hint="eastAsia" w:asciiTheme="minorEastAsia" w:hAnsiTheme="minorEastAsia"/>
        </w:rPr>
        <w:t>全容式</w:t>
      </w:r>
      <w:r>
        <w:rPr>
          <w:rFonts w:asciiTheme="minorEastAsia" w:hAnsiTheme="minorEastAsia"/>
        </w:rPr>
        <w:t>LNG</w:t>
      </w:r>
      <w:r>
        <w:rPr>
          <w:rFonts w:hint="eastAsia" w:asciiTheme="minorEastAsia" w:hAnsiTheme="minorEastAsia"/>
        </w:rPr>
        <w:t>储罐9%Ni钢埋弧焊</w:t>
      </w:r>
      <w:r>
        <w:rPr>
          <w:rFonts w:asciiTheme="minorEastAsia" w:hAnsiTheme="minorEastAsia"/>
        </w:rPr>
        <w:t>接工作的焊接操作人员应按照TSG Z6002的规定，取得</w:t>
      </w:r>
      <w:r>
        <w:rPr>
          <w:rFonts w:hint="eastAsia" w:asciiTheme="minorEastAsia" w:hAnsiTheme="minorEastAsia"/>
        </w:rPr>
        <w:t>SAW</w:t>
      </w:r>
      <w:r>
        <w:rPr>
          <w:rFonts w:asciiTheme="minorEastAsia" w:hAnsiTheme="minorEastAsia"/>
        </w:rPr>
        <w:t>焊接方法的操作资格。</w:t>
      </w:r>
    </w:p>
    <w:p>
      <w:pPr>
        <w:spacing w:line="360" w:lineRule="auto"/>
        <w:rPr>
          <w:rFonts w:asciiTheme="minorEastAsia" w:hAnsiTheme="minorEastAsia"/>
        </w:rPr>
      </w:pPr>
      <w:r>
        <w:rPr>
          <w:rFonts w:hint="eastAsia" w:asciiTheme="minorEastAsia" w:hAnsiTheme="minorEastAsia"/>
        </w:rPr>
        <w:t>5</w:t>
      </w:r>
      <w:r>
        <w:rPr>
          <w:rFonts w:asciiTheme="minorEastAsia" w:hAnsiTheme="minorEastAsia"/>
        </w:rPr>
        <w:t xml:space="preserve">.2  </w:t>
      </w:r>
      <w:r>
        <w:rPr>
          <w:rFonts w:hint="eastAsia" w:asciiTheme="minorEastAsia" w:hAnsiTheme="minorEastAsia"/>
        </w:rPr>
        <w:t>全容式</w:t>
      </w:r>
      <w:r>
        <w:rPr>
          <w:rFonts w:asciiTheme="minorEastAsia" w:hAnsiTheme="minorEastAsia"/>
        </w:rPr>
        <w:t>LNG</w:t>
      </w:r>
      <w:r>
        <w:rPr>
          <w:rFonts w:hint="eastAsia" w:asciiTheme="minorEastAsia" w:hAnsiTheme="minorEastAsia"/>
        </w:rPr>
        <w:t>储罐埋弧焊接</w:t>
      </w:r>
      <w:r>
        <w:rPr>
          <w:rFonts w:asciiTheme="minorEastAsia" w:hAnsiTheme="minorEastAsia"/>
        </w:rPr>
        <w:t>操作人员，焊接前应经过培训或考核。</w:t>
      </w:r>
    </w:p>
    <w:p>
      <w:pPr>
        <w:pStyle w:val="2"/>
        <w:spacing w:before="120" w:after="120" w:line="360" w:lineRule="auto"/>
      </w:pPr>
      <w:bookmarkStart w:id="18" w:name="_Toc136765861"/>
      <w:bookmarkStart w:id="19" w:name="_Toc159410669"/>
      <w:r>
        <w:rPr>
          <w:rFonts w:hint="eastAsia"/>
        </w:rPr>
        <w:t>6</w:t>
      </w:r>
      <w:r>
        <w:t xml:space="preserve">  </w:t>
      </w:r>
      <w:r>
        <w:rPr>
          <w:rFonts w:hint="eastAsia"/>
        </w:rPr>
        <w:t>焊接工艺评定及焊接工艺规程</w:t>
      </w:r>
      <w:bookmarkEnd w:id="18"/>
      <w:bookmarkEnd w:id="19"/>
    </w:p>
    <w:p>
      <w:pPr>
        <w:pStyle w:val="3"/>
        <w:spacing w:line="360" w:lineRule="auto"/>
      </w:pPr>
      <w:bookmarkStart w:id="20" w:name="_Toc159410670"/>
      <w:bookmarkStart w:id="21" w:name="_Toc136765862"/>
      <w:r>
        <w:rPr>
          <w:rFonts w:hint="eastAsia"/>
        </w:rPr>
        <w:t>6</w:t>
      </w:r>
      <w:r>
        <w:t xml:space="preserve">.1 </w:t>
      </w:r>
      <w:r>
        <w:rPr>
          <w:rFonts w:hint="eastAsia"/>
        </w:rPr>
        <w:t>焊接工艺评定</w:t>
      </w:r>
      <w:bookmarkEnd w:id="20"/>
      <w:bookmarkEnd w:id="21"/>
    </w:p>
    <w:p>
      <w:pPr>
        <w:spacing w:line="360" w:lineRule="auto"/>
        <w:rPr>
          <w:rFonts w:asciiTheme="minorEastAsia" w:hAnsiTheme="minorEastAsia"/>
        </w:rPr>
      </w:pPr>
      <w:r>
        <w:rPr>
          <w:rFonts w:hint="eastAsia" w:asciiTheme="minorEastAsia" w:hAnsiTheme="minorEastAsia"/>
        </w:rPr>
        <w:t>6.</w:t>
      </w:r>
      <w:r>
        <w:rPr>
          <w:rFonts w:asciiTheme="minorEastAsia" w:hAnsiTheme="minorEastAsia"/>
        </w:rPr>
        <w:t xml:space="preserve">1.1 </w:t>
      </w:r>
      <w:r>
        <w:rPr>
          <w:rFonts w:hint="eastAsia" w:asciiTheme="minorEastAsia" w:hAnsiTheme="minorEastAsia"/>
        </w:rPr>
        <w:t>全容式</w:t>
      </w:r>
      <w:r>
        <w:rPr>
          <w:rFonts w:asciiTheme="minorEastAsia" w:hAnsiTheme="minorEastAsia"/>
        </w:rPr>
        <w:t>LNG</w:t>
      </w:r>
      <w:r>
        <w:rPr>
          <w:rFonts w:hint="eastAsia" w:asciiTheme="minorEastAsia" w:hAnsiTheme="minorEastAsia"/>
        </w:rPr>
        <w:t>储罐9%Ni钢埋弧</w:t>
      </w:r>
      <w:r>
        <w:rPr>
          <w:rFonts w:asciiTheme="minorEastAsia" w:hAnsiTheme="minorEastAsia"/>
        </w:rPr>
        <w:t>焊接前应</w:t>
      </w:r>
      <w:r>
        <w:rPr>
          <w:rFonts w:hint="eastAsia" w:asciiTheme="minorEastAsia" w:hAnsiTheme="minorEastAsia"/>
        </w:rPr>
        <w:t>根据母材厚度、焊接位置</w:t>
      </w:r>
      <w:r>
        <w:rPr>
          <w:rFonts w:asciiTheme="minorEastAsia" w:hAnsiTheme="minorEastAsia"/>
        </w:rPr>
        <w:t>进行</w:t>
      </w:r>
      <w:r>
        <w:rPr>
          <w:rFonts w:hint="eastAsia" w:asciiTheme="minorEastAsia" w:hAnsiTheme="minorEastAsia"/>
        </w:rPr>
        <w:t>相应的</w:t>
      </w:r>
      <w:r>
        <w:rPr>
          <w:rFonts w:asciiTheme="minorEastAsia" w:hAnsiTheme="minorEastAsia"/>
        </w:rPr>
        <w:t>焊接工艺评定。</w:t>
      </w:r>
    </w:p>
    <w:p>
      <w:pPr>
        <w:spacing w:line="360" w:lineRule="auto"/>
        <w:rPr>
          <w:rFonts w:asciiTheme="minorEastAsia" w:hAnsiTheme="minorEastAsia"/>
        </w:rPr>
      </w:pPr>
      <w:r>
        <w:rPr>
          <w:rFonts w:hint="eastAsia" w:asciiTheme="minorEastAsia" w:hAnsiTheme="minorEastAsia"/>
        </w:rPr>
        <w:t>6.</w:t>
      </w:r>
      <w:r>
        <w:rPr>
          <w:rFonts w:asciiTheme="minorEastAsia" w:hAnsiTheme="minorEastAsia"/>
        </w:rPr>
        <w:t>1.2 焊接工艺评定应按NB/T 47014的规定进行，</w:t>
      </w:r>
      <w:r>
        <w:rPr>
          <w:rFonts w:hint="eastAsia" w:asciiTheme="minorEastAsia" w:hAnsiTheme="minorEastAsia"/>
        </w:rPr>
        <w:t>并</w:t>
      </w:r>
      <w:r>
        <w:rPr>
          <w:rFonts w:asciiTheme="minorEastAsia" w:hAnsiTheme="minorEastAsia"/>
        </w:rPr>
        <w:t>应</w:t>
      </w:r>
      <w:r>
        <w:rPr>
          <w:rFonts w:hint="eastAsia" w:asciiTheme="minorEastAsia" w:hAnsiTheme="minorEastAsia"/>
        </w:rPr>
        <w:t>符合</w:t>
      </w:r>
      <w:r>
        <w:rPr>
          <w:rFonts w:asciiTheme="minorEastAsia" w:hAnsiTheme="minorEastAsia"/>
        </w:rPr>
        <w:t>设计文件的要求</w:t>
      </w:r>
      <w:r>
        <w:rPr>
          <w:rFonts w:hint="eastAsia" w:asciiTheme="minorEastAsia" w:hAnsiTheme="minorEastAsia"/>
        </w:rPr>
        <w:t>，推荐的焊接工艺评定合格指标见附录B</w:t>
      </w:r>
      <w:r>
        <w:rPr>
          <w:rFonts w:asciiTheme="minorEastAsia" w:hAnsiTheme="minorEastAsia"/>
        </w:rPr>
        <w:t>。</w:t>
      </w:r>
    </w:p>
    <w:p>
      <w:pPr>
        <w:spacing w:line="360" w:lineRule="auto"/>
        <w:jc w:val="left"/>
        <w:rPr>
          <w:rFonts w:asciiTheme="minorEastAsia" w:hAnsiTheme="minorEastAsia"/>
          <w:b/>
        </w:rPr>
      </w:pPr>
      <w:r>
        <w:rPr>
          <w:rFonts w:hint="eastAsia" w:asciiTheme="minorEastAsia" w:hAnsiTheme="minorEastAsia"/>
        </w:rPr>
        <w:t>6.</w:t>
      </w:r>
      <w:r>
        <w:rPr>
          <w:rFonts w:asciiTheme="minorEastAsia" w:hAnsiTheme="minorEastAsia"/>
        </w:rPr>
        <w:t xml:space="preserve">1.3 </w:t>
      </w:r>
      <w:r>
        <w:rPr>
          <w:rFonts w:hint="eastAsia" w:asciiTheme="minorEastAsia" w:hAnsiTheme="minorEastAsia"/>
        </w:rPr>
        <w:t>大角焊缝的焊接工艺评定应符合G</w:t>
      </w:r>
      <w:r>
        <w:rPr>
          <w:rFonts w:asciiTheme="minorEastAsia" w:hAnsiTheme="minorEastAsia"/>
        </w:rPr>
        <w:t>B/T 50128</w:t>
      </w:r>
      <w:r>
        <w:rPr>
          <w:rFonts w:hint="eastAsia" w:asciiTheme="minorEastAsia" w:hAnsiTheme="minorEastAsia"/>
        </w:rPr>
        <w:t>附录A的规定。</w:t>
      </w:r>
    </w:p>
    <w:p>
      <w:pPr>
        <w:spacing w:line="360" w:lineRule="auto"/>
        <w:rPr>
          <w:rFonts w:asciiTheme="minorEastAsia" w:hAnsiTheme="minorEastAsia"/>
        </w:rPr>
      </w:pPr>
      <w:r>
        <w:rPr>
          <w:rFonts w:hint="eastAsia" w:asciiTheme="minorEastAsia" w:hAnsiTheme="minorEastAsia"/>
        </w:rPr>
        <w:t>6.</w:t>
      </w:r>
      <w:r>
        <w:rPr>
          <w:rFonts w:asciiTheme="minorEastAsia" w:hAnsiTheme="minorEastAsia"/>
        </w:rPr>
        <w:t xml:space="preserve">1.4 </w:t>
      </w:r>
      <w:r>
        <w:rPr>
          <w:rFonts w:hint="eastAsia" w:asciiTheme="minorEastAsia" w:hAnsiTheme="minorEastAsia"/>
        </w:rPr>
        <w:t>应重新进行焊接工艺评定的情况，包括但不仅限于以下情况：</w:t>
      </w:r>
    </w:p>
    <w:p>
      <w:pPr>
        <w:spacing w:line="360" w:lineRule="auto"/>
        <w:ind w:firstLine="420" w:firstLineChars="200"/>
        <w:rPr>
          <w:rFonts w:asciiTheme="minorEastAsia" w:hAnsiTheme="minorEastAsia"/>
        </w:rPr>
      </w:pPr>
      <w:r>
        <w:rPr>
          <w:rFonts w:hint="eastAsia" w:asciiTheme="minorEastAsia" w:hAnsiTheme="minorEastAsia"/>
        </w:rPr>
        <w:t>a） 母材、焊接材料制造厂商发生变化；</w:t>
      </w:r>
    </w:p>
    <w:p>
      <w:pPr>
        <w:spacing w:line="360" w:lineRule="auto"/>
        <w:ind w:firstLine="420" w:firstLineChars="200"/>
        <w:rPr>
          <w:rFonts w:asciiTheme="minorEastAsia" w:hAnsiTheme="minorEastAsia"/>
        </w:rPr>
      </w:pPr>
      <w:r>
        <w:rPr>
          <w:rFonts w:hint="eastAsia" w:asciiTheme="minorEastAsia" w:hAnsiTheme="minorEastAsia"/>
        </w:rPr>
        <w:t>b） 母材、焊接材料型号发生变化；</w:t>
      </w:r>
    </w:p>
    <w:p>
      <w:pPr>
        <w:spacing w:line="360" w:lineRule="auto"/>
        <w:ind w:firstLine="420" w:firstLineChars="200"/>
        <w:rPr>
          <w:rFonts w:asciiTheme="minorEastAsia" w:hAnsiTheme="minorEastAsia"/>
        </w:rPr>
      </w:pPr>
      <w:r>
        <w:rPr>
          <w:rFonts w:hint="eastAsia" w:asciiTheme="minorEastAsia" w:hAnsiTheme="minorEastAsia"/>
        </w:rPr>
        <w:t>c） 焊丝规格发生变化；</w:t>
      </w:r>
    </w:p>
    <w:p>
      <w:pPr>
        <w:spacing w:line="360" w:lineRule="auto"/>
        <w:ind w:firstLine="420" w:firstLineChars="200"/>
        <w:rPr>
          <w:rFonts w:asciiTheme="minorEastAsia" w:hAnsiTheme="minorEastAsia"/>
        </w:rPr>
      </w:pPr>
      <w:r>
        <w:rPr>
          <w:rFonts w:hint="eastAsia" w:asciiTheme="minorEastAsia" w:hAnsiTheme="minorEastAsia"/>
        </w:rPr>
        <w:t>d） 焊接电源极性发生变化。</w:t>
      </w:r>
    </w:p>
    <w:p>
      <w:pPr>
        <w:spacing w:line="360" w:lineRule="auto"/>
        <w:rPr>
          <w:rFonts w:asciiTheme="minorEastAsia" w:hAnsiTheme="minorEastAsia"/>
        </w:rPr>
      </w:pPr>
      <w:r>
        <w:rPr>
          <w:rFonts w:hint="eastAsia" w:asciiTheme="minorEastAsia" w:hAnsiTheme="minorEastAsia"/>
        </w:rPr>
        <w:t>6.</w:t>
      </w:r>
      <w:r>
        <w:rPr>
          <w:rFonts w:asciiTheme="minorEastAsia" w:hAnsiTheme="minorEastAsia"/>
        </w:rPr>
        <w:t xml:space="preserve">1.5 </w:t>
      </w:r>
      <w:r>
        <w:rPr>
          <w:rFonts w:hint="eastAsia" w:asciiTheme="minorEastAsia" w:hAnsiTheme="minorEastAsia"/>
        </w:rPr>
        <w:t>大角焊缝埋弧焊、底板边缘板对接焊缝埋弧焊，底层焊道宜采用焊条电弧焊工艺，保证焊接接头根部熔透。</w:t>
      </w:r>
    </w:p>
    <w:p>
      <w:pPr>
        <w:pStyle w:val="3"/>
        <w:spacing w:line="360" w:lineRule="auto"/>
      </w:pPr>
      <w:bookmarkStart w:id="22" w:name="_Toc136765863"/>
      <w:bookmarkStart w:id="23" w:name="_Toc159410671"/>
      <w:r>
        <w:rPr>
          <w:rFonts w:hint="eastAsia"/>
        </w:rPr>
        <w:t>6</w:t>
      </w:r>
      <w:r>
        <w:t>.2 焊接工艺规程</w:t>
      </w:r>
      <w:bookmarkEnd w:id="22"/>
      <w:bookmarkEnd w:id="23"/>
    </w:p>
    <w:p>
      <w:pPr>
        <w:spacing w:line="360" w:lineRule="auto"/>
        <w:rPr>
          <w:rFonts w:asciiTheme="minorEastAsia" w:hAnsiTheme="minorEastAsia"/>
        </w:rPr>
      </w:pPr>
      <w:r>
        <w:rPr>
          <w:rFonts w:hint="eastAsia" w:asciiTheme="minorEastAsia" w:hAnsiTheme="minorEastAsia"/>
        </w:rPr>
        <w:t>6.</w:t>
      </w:r>
      <w:r>
        <w:rPr>
          <w:rFonts w:asciiTheme="minorEastAsia" w:hAnsiTheme="minorEastAsia"/>
        </w:rPr>
        <w:t>2.1 施焊前，应根据焊接工艺评定、相关标准</w:t>
      </w:r>
      <w:r>
        <w:rPr>
          <w:rFonts w:hint="eastAsia" w:asciiTheme="minorEastAsia" w:hAnsiTheme="minorEastAsia"/>
        </w:rPr>
        <w:t>、设计文件</w:t>
      </w:r>
      <w:r>
        <w:rPr>
          <w:rFonts w:asciiTheme="minorEastAsia" w:hAnsiTheme="minorEastAsia"/>
        </w:rPr>
        <w:t>编制焊接工艺规程，用于指导焊接施工。</w:t>
      </w:r>
    </w:p>
    <w:p>
      <w:pPr>
        <w:spacing w:line="360" w:lineRule="auto"/>
        <w:rPr>
          <w:rFonts w:asciiTheme="minorEastAsia" w:hAnsiTheme="minorEastAsia"/>
        </w:rPr>
      </w:pPr>
      <w:r>
        <w:rPr>
          <w:rFonts w:hint="eastAsia" w:asciiTheme="minorEastAsia" w:hAnsiTheme="minorEastAsia"/>
        </w:rPr>
        <w:t>6.</w:t>
      </w:r>
      <w:r>
        <w:rPr>
          <w:rFonts w:asciiTheme="minorEastAsia" w:hAnsiTheme="minorEastAsia"/>
        </w:rPr>
        <w:t>2.2 焊接工艺规程应至少包括下列内容：</w:t>
      </w:r>
    </w:p>
    <w:p>
      <w:pPr>
        <w:pStyle w:val="85"/>
        <w:numPr>
          <w:ilvl w:val="0"/>
          <w:numId w:val="3"/>
        </w:numPr>
        <w:spacing w:line="360" w:lineRule="auto"/>
        <w:ind w:firstLineChars="0"/>
        <w:rPr>
          <w:rFonts w:asciiTheme="minorEastAsia" w:hAnsiTheme="minorEastAsia"/>
        </w:rPr>
      </w:pPr>
      <w:r>
        <w:rPr>
          <w:rFonts w:asciiTheme="minorEastAsia" w:hAnsiTheme="minorEastAsia"/>
        </w:rPr>
        <w:t xml:space="preserve"> 焊接环境要求；</w:t>
      </w:r>
    </w:p>
    <w:p>
      <w:pPr>
        <w:pStyle w:val="85"/>
        <w:numPr>
          <w:ilvl w:val="0"/>
          <w:numId w:val="3"/>
        </w:numPr>
        <w:spacing w:line="360" w:lineRule="auto"/>
        <w:ind w:firstLineChars="0"/>
        <w:rPr>
          <w:rFonts w:asciiTheme="minorEastAsia" w:hAnsiTheme="minorEastAsia"/>
        </w:rPr>
      </w:pPr>
      <w:r>
        <w:rPr>
          <w:rFonts w:asciiTheme="minorEastAsia" w:hAnsiTheme="minorEastAsia"/>
        </w:rPr>
        <w:t xml:space="preserve"> 焊接方法及机动化程度；</w:t>
      </w:r>
    </w:p>
    <w:p>
      <w:pPr>
        <w:pStyle w:val="85"/>
        <w:numPr>
          <w:ilvl w:val="0"/>
          <w:numId w:val="3"/>
        </w:numPr>
        <w:spacing w:line="360" w:lineRule="auto"/>
        <w:ind w:firstLineChars="0"/>
        <w:rPr>
          <w:rFonts w:asciiTheme="minorEastAsia" w:hAnsiTheme="minorEastAsia"/>
        </w:rPr>
      </w:pPr>
      <w:r>
        <w:rPr>
          <w:rFonts w:asciiTheme="minorEastAsia" w:hAnsiTheme="minorEastAsia"/>
        </w:rPr>
        <w:t xml:space="preserve"> 电源种类和极性；</w:t>
      </w:r>
    </w:p>
    <w:p>
      <w:pPr>
        <w:pStyle w:val="85"/>
        <w:numPr>
          <w:ilvl w:val="0"/>
          <w:numId w:val="3"/>
        </w:numPr>
        <w:spacing w:line="360" w:lineRule="auto"/>
        <w:ind w:firstLineChars="0"/>
        <w:rPr>
          <w:rFonts w:asciiTheme="minorEastAsia" w:hAnsiTheme="minorEastAsia"/>
        </w:rPr>
      </w:pPr>
      <w:r>
        <w:rPr>
          <w:rFonts w:asciiTheme="minorEastAsia" w:hAnsiTheme="minorEastAsia"/>
        </w:rPr>
        <w:t xml:space="preserve"> 母材的型号、规格尺寸； </w:t>
      </w:r>
    </w:p>
    <w:p>
      <w:pPr>
        <w:pStyle w:val="85"/>
        <w:numPr>
          <w:ilvl w:val="0"/>
          <w:numId w:val="3"/>
        </w:numPr>
        <w:spacing w:line="360" w:lineRule="auto"/>
        <w:ind w:firstLineChars="0"/>
        <w:rPr>
          <w:rFonts w:asciiTheme="minorEastAsia" w:hAnsiTheme="minorEastAsia"/>
        </w:rPr>
      </w:pPr>
      <w:r>
        <w:rPr>
          <w:rFonts w:asciiTheme="minorEastAsia" w:hAnsiTheme="minorEastAsia"/>
        </w:rPr>
        <w:t xml:space="preserve"> 坡口形式、尺寸及加工要求；</w:t>
      </w:r>
    </w:p>
    <w:p>
      <w:pPr>
        <w:pStyle w:val="85"/>
        <w:numPr>
          <w:ilvl w:val="0"/>
          <w:numId w:val="3"/>
        </w:numPr>
        <w:spacing w:line="360" w:lineRule="auto"/>
        <w:ind w:firstLineChars="0"/>
        <w:rPr>
          <w:rFonts w:asciiTheme="minorEastAsia" w:hAnsiTheme="minorEastAsia"/>
        </w:rPr>
      </w:pPr>
      <w:r>
        <w:rPr>
          <w:rFonts w:asciiTheme="minorEastAsia" w:hAnsiTheme="minorEastAsia"/>
        </w:rPr>
        <w:t xml:space="preserve"> </w:t>
      </w:r>
      <w:r>
        <w:rPr>
          <w:rFonts w:hint="eastAsia" w:asciiTheme="minorEastAsia" w:hAnsiTheme="minorEastAsia"/>
        </w:rPr>
        <w:t>焊接材料</w:t>
      </w:r>
      <w:r>
        <w:rPr>
          <w:rFonts w:asciiTheme="minorEastAsia" w:hAnsiTheme="minorEastAsia"/>
        </w:rPr>
        <w:t>的标准号、型号</w:t>
      </w:r>
      <w:r>
        <w:rPr>
          <w:rFonts w:hint="eastAsia" w:asciiTheme="minorEastAsia" w:hAnsiTheme="minorEastAsia"/>
        </w:rPr>
        <w:t>/</w:t>
      </w:r>
      <w:r>
        <w:rPr>
          <w:rFonts w:asciiTheme="minorEastAsia" w:hAnsiTheme="minorEastAsia"/>
        </w:rPr>
        <w:t>牌号、规格；</w:t>
      </w:r>
    </w:p>
    <w:p>
      <w:pPr>
        <w:pStyle w:val="85"/>
        <w:numPr>
          <w:ilvl w:val="0"/>
          <w:numId w:val="3"/>
        </w:numPr>
        <w:spacing w:line="360" w:lineRule="auto"/>
        <w:ind w:firstLineChars="0"/>
        <w:rPr>
          <w:rFonts w:asciiTheme="minorEastAsia" w:hAnsiTheme="minorEastAsia"/>
        </w:rPr>
      </w:pPr>
      <w:r>
        <w:rPr>
          <w:rFonts w:asciiTheme="minorEastAsia" w:hAnsiTheme="minorEastAsia"/>
        </w:rPr>
        <w:t xml:space="preserve"> 焊接位置及焊接方向；</w:t>
      </w:r>
    </w:p>
    <w:p>
      <w:pPr>
        <w:pStyle w:val="85"/>
        <w:numPr>
          <w:ilvl w:val="0"/>
          <w:numId w:val="3"/>
        </w:numPr>
        <w:spacing w:line="360" w:lineRule="auto"/>
        <w:ind w:firstLineChars="0"/>
        <w:rPr>
          <w:rFonts w:asciiTheme="minorEastAsia" w:hAnsiTheme="minorEastAsia"/>
        </w:rPr>
      </w:pPr>
      <w:r>
        <w:rPr>
          <w:rFonts w:asciiTheme="minorEastAsia" w:hAnsiTheme="minorEastAsia"/>
        </w:rPr>
        <w:t xml:space="preserve"> 焊接层道数量及层厚；</w:t>
      </w:r>
    </w:p>
    <w:p>
      <w:pPr>
        <w:pStyle w:val="85"/>
        <w:numPr>
          <w:ilvl w:val="0"/>
          <w:numId w:val="3"/>
        </w:numPr>
        <w:spacing w:line="360" w:lineRule="auto"/>
        <w:ind w:firstLineChars="0"/>
        <w:rPr>
          <w:rFonts w:asciiTheme="minorEastAsia" w:hAnsiTheme="minorEastAsia"/>
        </w:rPr>
      </w:pPr>
      <w:r>
        <w:rPr>
          <w:rFonts w:asciiTheme="minorEastAsia" w:hAnsiTheme="minorEastAsia"/>
        </w:rPr>
        <w:t xml:space="preserve"> 预热及</w:t>
      </w:r>
      <w:r>
        <w:rPr>
          <w:rFonts w:hint="eastAsia" w:asciiTheme="minorEastAsia" w:hAnsiTheme="minorEastAsia"/>
        </w:rPr>
        <w:t>层</w:t>
      </w:r>
      <w:r>
        <w:rPr>
          <w:rFonts w:asciiTheme="minorEastAsia" w:hAnsiTheme="minorEastAsia"/>
        </w:rPr>
        <w:t>道间温度要求；</w:t>
      </w:r>
    </w:p>
    <w:p>
      <w:pPr>
        <w:pStyle w:val="85"/>
        <w:numPr>
          <w:ilvl w:val="0"/>
          <w:numId w:val="3"/>
        </w:numPr>
        <w:spacing w:line="360" w:lineRule="auto"/>
        <w:ind w:firstLineChars="0"/>
        <w:rPr>
          <w:rFonts w:asciiTheme="minorEastAsia" w:hAnsiTheme="minorEastAsia"/>
        </w:rPr>
      </w:pPr>
      <w:r>
        <w:rPr>
          <w:rFonts w:hint="eastAsia" w:asciiTheme="minorEastAsia" w:hAnsiTheme="minorEastAsia"/>
        </w:rPr>
        <w:t xml:space="preserve"> </w:t>
      </w:r>
      <w:r>
        <w:rPr>
          <w:rFonts w:asciiTheme="minorEastAsia" w:hAnsiTheme="minorEastAsia"/>
        </w:rPr>
        <w:t xml:space="preserve">焊接电特性及焊接参数； </w:t>
      </w:r>
    </w:p>
    <w:p>
      <w:pPr>
        <w:pStyle w:val="85"/>
        <w:numPr>
          <w:ilvl w:val="0"/>
          <w:numId w:val="3"/>
        </w:numPr>
        <w:spacing w:line="360" w:lineRule="auto"/>
        <w:ind w:firstLineChars="0"/>
        <w:rPr>
          <w:rFonts w:asciiTheme="minorEastAsia" w:hAnsiTheme="minorEastAsia"/>
        </w:rPr>
      </w:pPr>
      <w:r>
        <w:rPr>
          <w:rFonts w:asciiTheme="minorEastAsia" w:hAnsiTheme="minorEastAsia"/>
        </w:rPr>
        <w:t xml:space="preserve"> 焊接操作要领与技术措施</w:t>
      </w:r>
      <w:r>
        <w:rPr>
          <w:rFonts w:hint="eastAsia" w:asciiTheme="minorEastAsia" w:hAnsiTheme="minorEastAsia"/>
        </w:rPr>
        <w:t>；</w:t>
      </w:r>
    </w:p>
    <w:p>
      <w:pPr>
        <w:pStyle w:val="85"/>
        <w:numPr>
          <w:ilvl w:val="0"/>
          <w:numId w:val="3"/>
        </w:numPr>
        <w:spacing w:line="360" w:lineRule="auto"/>
        <w:ind w:firstLineChars="0"/>
        <w:rPr>
          <w:rFonts w:asciiTheme="minorEastAsia" w:hAnsiTheme="minorEastAsia"/>
        </w:rPr>
      </w:pPr>
      <w:r>
        <w:rPr>
          <w:rFonts w:hint="eastAsia" w:asciiTheme="minorEastAsia" w:hAnsiTheme="minorEastAsia"/>
        </w:rPr>
        <w:t xml:space="preserve"> 焊接检验要求。</w:t>
      </w:r>
    </w:p>
    <w:p>
      <w:pPr>
        <w:pStyle w:val="2"/>
        <w:spacing w:before="120" w:after="120" w:line="360" w:lineRule="auto"/>
      </w:pPr>
      <w:bookmarkStart w:id="24" w:name="_Toc136765864"/>
      <w:bookmarkStart w:id="25" w:name="_Toc159410672"/>
      <w:r>
        <w:rPr>
          <w:rFonts w:hint="eastAsia"/>
        </w:rPr>
        <w:t>7</w:t>
      </w:r>
      <w:r>
        <w:t xml:space="preserve">  焊接环境</w:t>
      </w:r>
      <w:bookmarkEnd w:id="24"/>
      <w:bookmarkEnd w:id="25"/>
    </w:p>
    <w:p>
      <w:pPr>
        <w:spacing w:line="360" w:lineRule="auto"/>
        <w:rPr>
          <w:rFonts w:asciiTheme="minorEastAsia" w:hAnsiTheme="minorEastAsia"/>
        </w:rPr>
      </w:pPr>
      <w:r>
        <w:rPr>
          <w:rFonts w:hint="eastAsia" w:asciiTheme="minorEastAsia" w:hAnsiTheme="minorEastAsia"/>
        </w:rPr>
        <w:t>7.1 施焊环境出现下列情况之一时，应采取防护措施，否则应停止焊接工作：</w:t>
      </w:r>
    </w:p>
    <w:p>
      <w:pPr>
        <w:spacing w:line="360" w:lineRule="auto"/>
        <w:ind w:firstLine="420" w:firstLineChars="200"/>
        <w:rPr>
          <w:rFonts w:asciiTheme="minorEastAsia" w:hAnsiTheme="minorEastAsia"/>
        </w:rPr>
      </w:pPr>
      <w:r>
        <w:rPr>
          <w:rFonts w:hint="eastAsia" w:asciiTheme="minorEastAsia" w:hAnsiTheme="minorEastAsia"/>
        </w:rPr>
        <w:t>a）  焊接时风速等于或大于8m/s；</w:t>
      </w:r>
    </w:p>
    <w:p>
      <w:pPr>
        <w:spacing w:line="360" w:lineRule="auto"/>
        <w:ind w:firstLine="420" w:firstLineChars="200"/>
        <w:rPr>
          <w:rFonts w:asciiTheme="minorEastAsia" w:hAnsiTheme="minorEastAsia"/>
        </w:rPr>
      </w:pPr>
      <w:r>
        <w:rPr>
          <w:rFonts w:hint="eastAsia" w:asciiTheme="minorEastAsia" w:hAnsiTheme="minorEastAsia"/>
        </w:rPr>
        <w:t>b）  相对湿度大于90%；</w:t>
      </w:r>
    </w:p>
    <w:p>
      <w:pPr>
        <w:spacing w:line="360" w:lineRule="auto"/>
        <w:ind w:firstLine="420" w:firstLineChars="200"/>
        <w:rPr>
          <w:rFonts w:asciiTheme="minorEastAsia" w:hAnsiTheme="minorEastAsia"/>
        </w:rPr>
      </w:pPr>
      <w:r>
        <w:rPr>
          <w:rFonts w:hint="eastAsia" w:asciiTheme="minorEastAsia" w:hAnsiTheme="minorEastAsia"/>
        </w:rPr>
        <w:t>c）  下雨或下雪时露天作业；</w:t>
      </w:r>
    </w:p>
    <w:p>
      <w:pPr>
        <w:spacing w:line="360" w:lineRule="auto"/>
        <w:ind w:firstLine="420" w:firstLineChars="200"/>
        <w:rPr>
          <w:rFonts w:asciiTheme="minorEastAsia" w:hAnsiTheme="minorEastAsia"/>
        </w:rPr>
      </w:pPr>
      <w:r>
        <w:rPr>
          <w:rFonts w:hint="eastAsia" w:asciiTheme="minorEastAsia" w:hAnsiTheme="minorEastAsia"/>
        </w:rPr>
        <w:t>d）  环境温度低于0 ℃。</w:t>
      </w:r>
    </w:p>
    <w:p>
      <w:pPr>
        <w:spacing w:line="360" w:lineRule="auto"/>
        <w:rPr>
          <w:rFonts w:asciiTheme="minorEastAsia" w:hAnsiTheme="minorEastAsia"/>
        </w:rPr>
      </w:pPr>
      <w:r>
        <w:rPr>
          <w:rFonts w:hint="eastAsia" w:asciiTheme="minorEastAsia" w:hAnsiTheme="minorEastAsia"/>
        </w:rPr>
        <w:t>7</w:t>
      </w:r>
      <w:r>
        <w:rPr>
          <w:rFonts w:asciiTheme="minorEastAsia" w:hAnsiTheme="minorEastAsia"/>
        </w:rPr>
        <w:t>.2 当焊接时风速过大时，可采用防风棚等措施。</w:t>
      </w:r>
    </w:p>
    <w:p>
      <w:pPr>
        <w:spacing w:line="360" w:lineRule="auto"/>
        <w:rPr>
          <w:rFonts w:asciiTheme="minorEastAsia" w:hAnsiTheme="minorEastAsia"/>
        </w:rPr>
      </w:pPr>
      <w:r>
        <w:rPr>
          <w:rFonts w:hint="eastAsia" w:asciiTheme="minorEastAsia" w:hAnsiTheme="minorEastAsia"/>
        </w:rPr>
        <w:t>7.3 当焊件温度低于0℃时，9%Ni钢焊缝应在始焊处100mm范围内预热至15℃以上，但不宜超过50℃。</w:t>
      </w:r>
    </w:p>
    <w:p>
      <w:pPr>
        <w:spacing w:line="360" w:lineRule="auto"/>
        <w:rPr>
          <w:rFonts w:asciiTheme="minorEastAsia" w:hAnsiTheme="minorEastAsia"/>
        </w:rPr>
      </w:pPr>
      <w:r>
        <w:rPr>
          <w:rFonts w:hint="eastAsia" w:asciiTheme="minorEastAsia" w:hAnsiTheme="minorEastAsia"/>
        </w:rPr>
        <w:t>7.4 焊前预热的加热范围应以焊缝中心为基准，每侧不应小于焊件厚度的5倍，且不应小于100mm。</w:t>
      </w:r>
    </w:p>
    <w:p>
      <w:pPr>
        <w:spacing w:line="360" w:lineRule="auto"/>
        <w:rPr>
          <w:rFonts w:asciiTheme="minorEastAsia" w:hAnsiTheme="minorEastAsia"/>
        </w:rPr>
      </w:pPr>
      <w:r>
        <w:rPr>
          <w:rFonts w:hint="eastAsia" w:asciiTheme="minorEastAsia" w:hAnsiTheme="minorEastAsia"/>
        </w:rPr>
        <w:t>7.5 为防止气孔产生，焊接前宜烘干坡口表面潮气，但坡口表面温度不宜超过50℃。</w:t>
      </w:r>
    </w:p>
    <w:p>
      <w:pPr>
        <w:pStyle w:val="2"/>
        <w:spacing w:before="120" w:after="120" w:line="360" w:lineRule="auto"/>
      </w:pPr>
      <w:bookmarkStart w:id="26" w:name="_Toc159410673"/>
      <w:r>
        <w:rPr>
          <w:rFonts w:hint="eastAsia"/>
        </w:rPr>
        <w:t>8</w:t>
      </w:r>
      <w:r>
        <w:t xml:space="preserve"> </w:t>
      </w:r>
      <w:r>
        <w:rPr>
          <w:rFonts w:hint="eastAsia"/>
        </w:rPr>
        <w:t xml:space="preserve"> 焊接施工</w:t>
      </w:r>
      <w:bookmarkEnd w:id="26"/>
    </w:p>
    <w:p>
      <w:pPr>
        <w:pStyle w:val="3"/>
        <w:spacing w:line="360" w:lineRule="auto"/>
        <w:rPr>
          <w:rFonts w:ascii="Times New Roman" w:hAnsi="Times New Roman" w:cs="Times New Roman"/>
        </w:rPr>
      </w:pPr>
      <w:bookmarkStart w:id="27" w:name="_Toc159410674"/>
      <w:bookmarkStart w:id="28" w:name="_Toc136765866"/>
      <w:r>
        <w:rPr>
          <w:rFonts w:hint="eastAsia" w:ascii="Times New Roman" w:hAnsi="Times New Roman" w:cs="Times New Roman"/>
        </w:rPr>
        <w:t>8.</w:t>
      </w:r>
      <w:r>
        <w:rPr>
          <w:rFonts w:ascii="Times New Roman" w:hAnsi="Times New Roman" w:cs="Times New Roman"/>
        </w:rPr>
        <w:t>1 焊接设备</w:t>
      </w:r>
      <w:bookmarkEnd w:id="27"/>
      <w:bookmarkEnd w:id="28"/>
    </w:p>
    <w:p>
      <w:pPr>
        <w:spacing w:line="360" w:lineRule="auto"/>
        <w:rPr>
          <w:rFonts w:asciiTheme="minorEastAsia" w:hAnsiTheme="minorEastAsia"/>
        </w:rPr>
      </w:pPr>
      <w:r>
        <w:rPr>
          <w:rFonts w:hint="eastAsia" w:asciiTheme="minorEastAsia" w:hAnsiTheme="minorEastAsia"/>
        </w:rPr>
        <w:t>8.1</w:t>
      </w:r>
      <w:r>
        <w:rPr>
          <w:rFonts w:asciiTheme="minorEastAsia" w:hAnsiTheme="minorEastAsia"/>
        </w:rPr>
        <w:t xml:space="preserve">.1 </w:t>
      </w:r>
      <w:r>
        <w:rPr>
          <w:rFonts w:hint="eastAsia" w:asciiTheme="minorEastAsia" w:hAnsiTheme="minorEastAsia"/>
        </w:rPr>
        <w:t>埋弧焊机</w:t>
      </w:r>
      <w:r>
        <w:rPr>
          <w:rFonts w:asciiTheme="minorEastAsia" w:hAnsiTheme="minorEastAsia"/>
        </w:rPr>
        <w:t>宜设置专用电源供电，网络电压应满足焊接电源</w:t>
      </w:r>
      <w:r>
        <w:rPr>
          <w:rFonts w:hint="eastAsia" w:asciiTheme="minorEastAsia" w:hAnsiTheme="minorEastAsia"/>
        </w:rPr>
        <w:t>运行稳定性要求</w:t>
      </w:r>
      <w:r>
        <w:rPr>
          <w:rFonts w:asciiTheme="minorEastAsia" w:hAnsiTheme="minorEastAsia"/>
        </w:rPr>
        <w:t>。</w:t>
      </w:r>
    </w:p>
    <w:p>
      <w:pPr>
        <w:spacing w:line="360" w:lineRule="auto"/>
        <w:rPr>
          <w:rFonts w:asciiTheme="minorEastAsia" w:hAnsiTheme="minorEastAsia"/>
        </w:rPr>
      </w:pPr>
      <w:r>
        <w:rPr>
          <w:rFonts w:hint="eastAsia" w:asciiTheme="minorEastAsia" w:hAnsiTheme="minorEastAsia"/>
        </w:rPr>
        <w:t>8.1</w:t>
      </w:r>
      <w:r>
        <w:rPr>
          <w:rFonts w:asciiTheme="minorEastAsia" w:hAnsiTheme="minorEastAsia"/>
        </w:rPr>
        <w:t>.2 焊接前，检查焊接设备、压丝轮、导丝管、导电嘴等</w:t>
      </w:r>
      <w:r>
        <w:rPr>
          <w:rFonts w:hint="eastAsia" w:asciiTheme="minorEastAsia" w:hAnsiTheme="minorEastAsia"/>
        </w:rPr>
        <w:t>应</w:t>
      </w:r>
      <w:r>
        <w:rPr>
          <w:rFonts w:asciiTheme="minorEastAsia" w:hAnsiTheme="minorEastAsia"/>
        </w:rPr>
        <w:t>满足要求。</w:t>
      </w:r>
      <w:r>
        <w:rPr>
          <w:rFonts w:hint="eastAsia" w:asciiTheme="minorEastAsia" w:hAnsiTheme="minorEastAsia"/>
        </w:rPr>
        <w:t>焊接设备启动前，应检查设备、指示仪表、开关位置和电源极性等。在正式焊接前，应在试弧板上进行焊接工艺参数调试。</w:t>
      </w:r>
    </w:p>
    <w:p>
      <w:pPr>
        <w:spacing w:line="360" w:lineRule="auto"/>
        <w:rPr>
          <w:rFonts w:asciiTheme="minorEastAsia" w:hAnsiTheme="minorEastAsia"/>
        </w:rPr>
      </w:pPr>
      <w:r>
        <w:rPr>
          <w:rFonts w:hint="eastAsia" w:asciiTheme="minorEastAsia" w:hAnsiTheme="minorEastAsia"/>
        </w:rPr>
        <w:t>8.1</w:t>
      </w:r>
      <w:r>
        <w:rPr>
          <w:rFonts w:asciiTheme="minorEastAsia" w:hAnsiTheme="minorEastAsia"/>
        </w:rPr>
        <w:t xml:space="preserve">.3 </w:t>
      </w:r>
      <w:r>
        <w:rPr>
          <w:rFonts w:hint="eastAsia" w:asciiTheme="minorEastAsia" w:hAnsiTheme="minorEastAsia"/>
        </w:rPr>
        <w:t>焊接电缆截面积、长度应满足焊机出厂说明书的要求。焊接电缆标称截面宜不小于5</w:t>
      </w:r>
      <w:r>
        <w:rPr>
          <w:rFonts w:asciiTheme="minorEastAsia" w:hAnsiTheme="minorEastAsia"/>
        </w:rPr>
        <w:t>0</w:t>
      </w:r>
      <w:r>
        <w:rPr>
          <w:rFonts w:hint="eastAsia" w:asciiTheme="minorEastAsia" w:hAnsiTheme="minorEastAsia"/>
        </w:rPr>
        <w:t>mm</w:t>
      </w:r>
      <w:r>
        <w:rPr>
          <w:rFonts w:asciiTheme="minorEastAsia" w:hAnsiTheme="minorEastAsia"/>
          <w:vertAlign w:val="superscript"/>
        </w:rPr>
        <w:t>2</w:t>
      </w:r>
      <w:r>
        <w:rPr>
          <w:rFonts w:hint="eastAsia" w:asciiTheme="minorEastAsia" w:hAnsiTheme="minorEastAsia"/>
        </w:rPr>
        <w:t>，电缆长度不宜超过5</w:t>
      </w:r>
      <w:r>
        <w:rPr>
          <w:rFonts w:asciiTheme="minorEastAsia" w:hAnsiTheme="minorEastAsia"/>
        </w:rPr>
        <w:t>0</w:t>
      </w:r>
      <w:r>
        <w:rPr>
          <w:rFonts w:hint="eastAsia" w:asciiTheme="minorEastAsia" w:hAnsiTheme="minorEastAsia"/>
        </w:rPr>
        <w:t>m。若电缆长度超过5</w:t>
      </w:r>
      <w:r>
        <w:rPr>
          <w:rFonts w:asciiTheme="minorEastAsia" w:hAnsiTheme="minorEastAsia"/>
        </w:rPr>
        <w:t>0</w:t>
      </w:r>
      <w:r>
        <w:rPr>
          <w:rFonts w:hint="eastAsia" w:asciiTheme="minorEastAsia" w:hAnsiTheme="minorEastAsia"/>
        </w:rPr>
        <w:t>m，应增加焊接电缆直径。</w:t>
      </w:r>
    </w:p>
    <w:p>
      <w:pPr>
        <w:spacing w:line="360" w:lineRule="auto"/>
        <w:rPr>
          <w:rFonts w:asciiTheme="minorEastAsia" w:hAnsiTheme="minorEastAsia"/>
        </w:rPr>
      </w:pPr>
      <w:r>
        <w:rPr>
          <w:rFonts w:hint="eastAsia" w:asciiTheme="minorEastAsia" w:hAnsiTheme="minorEastAsia"/>
        </w:rPr>
        <w:t>8.1</w:t>
      </w:r>
      <w:r>
        <w:rPr>
          <w:rFonts w:asciiTheme="minorEastAsia" w:hAnsiTheme="minorEastAsia"/>
        </w:rPr>
        <w:t>.4</w:t>
      </w:r>
      <w:r>
        <w:rPr>
          <w:rFonts w:hint="eastAsia" w:asciiTheme="minorEastAsia" w:hAnsiTheme="minorEastAsia"/>
        </w:rPr>
        <w:t xml:space="preserve"> 焊接地线应尽量靠近焊接区，宜用卡具将地线和被焊管件牢固连接，不应产生电弧灼伤母材。</w:t>
      </w:r>
    </w:p>
    <w:p>
      <w:pPr>
        <w:spacing w:line="360" w:lineRule="auto"/>
        <w:rPr>
          <w:rFonts w:asciiTheme="minorEastAsia" w:hAnsiTheme="minorEastAsia"/>
        </w:rPr>
      </w:pPr>
      <w:r>
        <w:rPr>
          <w:rFonts w:hint="eastAsia" w:asciiTheme="minorEastAsia" w:hAnsiTheme="minorEastAsia"/>
        </w:rPr>
        <w:t>8.1.5 焊接电源及设备布置时，应采取防止产生磁场的措施。</w:t>
      </w:r>
    </w:p>
    <w:p>
      <w:pPr>
        <w:spacing w:line="360" w:lineRule="auto"/>
        <w:rPr>
          <w:rFonts w:asciiTheme="minorEastAsia" w:hAnsiTheme="minorEastAsia"/>
        </w:rPr>
      </w:pPr>
      <w:r>
        <w:rPr>
          <w:rFonts w:hint="eastAsia" w:asciiTheme="minorEastAsia" w:hAnsiTheme="minorEastAsia"/>
        </w:rPr>
        <w:t>8.1.6 当母材或焊缝区域产生影响焊接质量的磁场时，应采取适当的消磁措施。</w:t>
      </w:r>
    </w:p>
    <w:p>
      <w:pPr>
        <w:spacing w:line="360" w:lineRule="auto"/>
        <w:rPr>
          <w:rFonts w:asciiTheme="minorEastAsia" w:hAnsiTheme="minorEastAsia"/>
        </w:rPr>
      </w:pPr>
      <w:r>
        <w:rPr>
          <w:rFonts w:hint="eastAsia" w:asciiTheme="minorEastAsia" w:hAnsiTheme="minorEastAsia"/>
        </w:rPr>
        <w:t>8.1.7 埋弧焊接轨道应与焊缝保持间距一致，注意防止焊枪偏离焊缝。</w:t>
      </w:r>
    </w:p>
    <w:p>
      <w:pPr>
        <w:spacing w:line="360" w:lineRule="auto"/>
        <w:rPr>
          <w:rFonts w:asciiTheme="minorEastAsia" w:hAnsiTheme="minorEastAsia"/>
        </w:rPr>
      </w:pPr>
      <w:r>
        <w:rPr>
          <w:rFonts w:hint="eastAsia" w:asciiTheme="minorEastAsia" w:hAnsiTheme="minorEastAsia"/>
        </w:rPr>
        <w:t>8.1.8 壁板环焊缝埋弧焊应选用埋弧横焊机，埋弧横焊机示意图见图8.1.8。</w:t>
      </w:r>
    </w:p>
    <w:p>
      <w:pPr>
        <w:spacing w:line="360" w:lineRule="auto"/>
        <w:jc w:val="center"/>
        <w:rPr>
          <w:rFonts w:ascii="宋体" w:hAnsi="宋体" w:cs="宋体"/>
          <w:sz w:val="24"/>
          <w:szCs w:val="24"/>
        </w:rPr>
      </w:pPr>
      <w:r>
        <w:rPr>
          <w:rFonts w:ascii="宋体" w:hAnsi="宋体" w:cs="宋体"/>
          <w:sz w:val="24"/>
          <w:szCs w:val="24"/>
        </w:rPr>
        <w:drawing>
          <wp:inline distT="0" distB="0" distL="114300" distR="114300">
            <wp:extent cx="2120900" cy="1681480"/>
            <wp:effectExtent l="0" t="0" r="0" b="762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rcRect r="43342" b="33384"/>
                    <a:stretch>
                      <a:fillRect/>
                    </a:stretch>
                  </pic:blipFill>
                  <pic:spPr>
                    <a:xfrm>
                      <a:off x="0" y="0"/>
                      <a:ext cx="2120900" cy="1681480"/>
                    </a:xfrm>
                    <a:prstGeom prst="rect">
                      <a:avLst/>
                    </a:prstGeom>
                    <a:noFill/>
                    <a:ln w="9525">
                      <a:noFill/>
                    </a:ln>
                  </pic:spPr>
                </pic:pic>
              </a:graphicData>
            </a:graphic>
          </wp:inline>
        </w:drawing>
      </w:r>
    </w:p>
    <w:p>
      <w:pPr>
        <w:spacing w:line="360" w:lineRule="auto"/>
        <w:jc w:val="center"/>
        <w:rPr>
          <w:rFonts w:ascii="宋体" w:hAnsi="宋体" w:cs="宋体"/>
        </w:rPr>
      </w:pPr>
      <w:r>
        <w:rPr>
          <w:rFonts w:hint="eastAsia" w:ascii="宋体" w:hAnsi="宋体" w:cs="宋体"/>
        </w:rPr>
        <w:t>图8.1.8  罐壁埋弧横焊机及其配套工装示意图</w:t>
      </w:r>
    </w:p>
    <w:p>
      <w:pPr>
        <w:spacing w:line="360" w:lineRule="auto"/>
        <w:rPr>
          <w:rFonts w:asciiTheme="minorEastAsia" w:hAnsiTheme="minorEastAsia"/>
        </w:rPr>
      </w:pPr>
      <w:r>
        <w:rPr>
          <w:rFonts w:hint="eastAsia" w:asciiTheme="minorEastAsia" w:hAnsiTheme="minorEastAsia"/>
        </w:rPr>
        <w:t>8.1.9 底板边缘板对接焊缝、大角焊缝、</w:t>
      </w:r>
      <w:r>
        <w:rPr>
          <w:rFonts w:hint="eastAsia"/>
        </w:rPr>
        <w:t>预制阶段加强圈角焊缝</w:t>
      </w:r>
      <w:r>
        <w:rPr>
          <w:rFonts w:hint="eastAsia" w:asciiTheme="minorEastAsia" w:hAnsiTheme="minorEastAsia"/>
        </w:rPr>
        <w:t>应选用平角埋弧焊机，且焊枪角度应根据实际焊接位置要求进行调整，平角埋弧焊机示意图见图8.1.9。</w:t>
      </w:r>
    </w:p>
    <w:p>
      <w:pPr>
        <w:spacing w:line="360" w:lineRule="auto"/>
        <w:jc w:val="center"/>
        <w:rPr>
          <w:rFonts w:ascii="宋体" w:hAnsi="宋体" w:cs="宋体"/>
          <w:sz w:val="24"/>
          <w:szCs w:val="24"/>
        </w:rPr>
      </w:pPr>
      <w:r>
        <w:rPr>
          <w:rFonts w:ascii="宋体" w:hAnsi="宋体" w:cs="宋体"/>
          <w:sz w:val="24"/>
          <w:szCs w:val="24"/>
        </w:rPr>
        <w:drawing>
          <wp:inline distT="0" distB="0" distL="114300" distR="114300">
            <wp:extent cx="2366645" cy="2484755"/>
            <wp:effectExtent l="0" t="0" r="8255" b="4445"/>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6"/>
                    <a:stretch>
                      <a:fillRect/>
                    </a:stretch>
                  </pic:blipFill>
                  <pic:spPr>
                    <a:xfrm>
                      <a:off x="0" y="0"/>
                      <a:ext cx="2366645" cy="2484755"/>
                    </a:xfrm>
                    <a:prstGeom prst="rect">
                      <a:avLst/>
                    </a:prstGeom>
                    <a:noFill/>
                    <a:ln w="9525">
                      <a:noFill/>
                    </a:ln>
                  </pic:spPr>
                </pic:pic>
              </a:graphicData>
            </a:graphic>
          </wp:inline>
        </w:drawing>
      </w:r>
    </w:p>
    <w:p>
      <w:pPr>
        <w:spacing w:line="360" w:lineRule="auto"/>
        <w:jc w:val="center"/>
        <w:rPr>
          <w:rFonts w:ascii="宋体" w:hAnsi="宋体" w:cs="宋体"/>
        </w:rPr>
      </w:pPr>
      <w:r>
        <w:rPr>
          <w:rFonts w:hint="eastAsia" w:ascii="宋体" w:hAnsi="宋体" w:cs="宋体"/>
        </w:rPr>
        <w:t>图8.1.9  平角埋弧焊机示意图</w:t>
      </w:r>
    </w:p>
    <w:p>
      <w:pPr>
        <w:pStyle w:val="3"/>
        <w:spacing w:line="360" w:lineRule="auto"/>
        <w:rPr>
          <w:rFonts w:ascii="Times New Roman" w:hAnsi="Times New Roman" w:cs="Times New Roman"/>
        </w:rPr>
      </w:pPr>
      <w:bookmarkStart w:id="29" w:name="_Toc136765867"/>
      <w:bookmarkStart w:id="30" w:name="_Toc159410675"/>
      <w:r>
        <w:rPr>
          <w:rFonts w:hint="eastAsia" w:ascii="Times New Roman" w:hAnsi="Times New Roman" w:cs="Times New Roman"/>
        </w:rPr>
        <w:t>8.2 坡口</w:t>
      </w:r>
      <w:bookmarkEnd w:id="29"/>
      <w:r>
        <w:rPr>
          <w:rFonts w:hint="eastAsia" w:ascii="Times New Roman" w:hAnsi="Times New Roman" w:cs="Times New Roman"/>
        </w:rPr>
        <w:t>及组对定位</w:t>
      </w:r>
      <w:bookmarkEnd w:id="30"/>
    </w:p>
    <w:p>
      <w:pPr>
        <w:spacing w:line="360" w:lineRule="auto"/>
        <w:rPr>
          <w:rFonts w:asciiTheme="minorEastAsia" w:hAnsiTheme="minorEastAsia"/>
        </w:rPr>
      </w:pPr>
      <w:r>
        <w:rPr>
          <w:rFonts w:hint="eastAsia" w:asciiTheme="minorEastAsia" w:hAnsiTheme="minorEastAsia"/>
        </w:rPr>
        <w:t>8.2</w:t>
      </w:r>
      <w:r>
        <w:rPr>
          <w:rFonts w:asciiTheme="minorEastAsia" w:hAnsiTheme="minorEastAsia"/>
        </w:rPr>
        <w:t>.1 坡口形式和尺寸</w:t>
      </w:r>
      <w:r>
        <w:rPr>
          <w:rFonts w:hint="eastAsia" w:asciiTheme="minorEastAsia" w:hAnsiTheme="minorEastAsia"/>
        </w:rPr>
        <w:t>应符合设计文件和焊接工艺规程的要求。</w:t>
      </w:r>
    </w:p>
    <w:p>
      <w:pPr>
        <w:spacing w:line="360" w:lineRule="auto"/>
        <w:rPr>
          <w:rFonts w:asciiTheme="minorEastAsia" w:hAnsiTheme="minorEastAsia"/>
        </w:rPr>
      </w:pPr>
      <w:r>
        <w:rPr>
          <w:rFonts w:hint="eastAsia" w:asciiTheme="minorEastAsia" w:hAnsiTheme="minorEastAsia"/>
        </w:rPr>
        <w:t>8.2</w:t>
      </w:r>
      <w:r>
        <w:rPr>
          <w:rFonts w:asciiTheme="minorEastAsia" w:hAnsiTheme="minorEastAsia"/>
        </w:rPr>
        <w:t xml:space="preserve">.2 </w:t>
      </w:r>
      <w:r>
        <w:rPr>
          <w:rFonts w:hint="eastAsia" w:asciiTheme="minorEastAsia" w:hAnsiTheme="minorEastAsia"/>
        </w:rPr>
        <w:t>坡口加工，宜采用机械方法加工</w:t>
      </w:r>
      <w:r>
        <w:rPr>
          <w:rFonts w:asciiTheme="minorEastAsia" w:hAnsiTheme="minorEastAsia"/>
        </w:rPr>
        <w:t>。</w:t>
      </w:r>
      <w:r>
        <w:rPr>
          <w:rFonts w:hint="eastAsia" w:asciiTheme="minorEastAsia" w:hAnsiTheme="minorEastAsia"/>
        </w:rPr>
        <w:t>当</w:t>
      </w:r>
      <w:r>
        <w:rPr>
          <w:rFonts w:asciiTheme="minorEastAsia" w:hAnsiTheme="minorEastAsia"/>
        </w:rPr>
        <w:t>采用等离子弧等热加工方法，应除去坡口表面的氧化皮、熔渣及影响接头质量的表面层，并应将凹凸不平处打磨平整。</w:t>
      </w:r>
    </w:p>
    <w:p>
      <w:pPr>
        <w:spacing w:line="360" w:lineRule="auto"/>
        <w:rPr>
          <w:rFonts w:asciiTheme="minorEastAsia" w:hAnsiTheme="minorEastAsia"/>
        </w:rPr>
      </w:pPr>
      <w:r>
        <w:rPr>
          <w:rFonts w:hint="eastAsia" w:asciiTheme="minorEastAsia" w:hAnsiTheme="minorEastAsia"/>
        </w:rPr>
        <w:t>8.2.3 未经设计书面确认，不得对加工坡口进行焊接修补。</w:t>
      </w:r>
    </w:p>
    <w:p>
      <w:pPr>
        <w:spacing w:line="360" w:lineRule="auto"/>
        <w:rPr>
          <w:rFonts w:asciiTheme="minorEastAsia" w:hAnsiTheme="minorEastAsia"/>
        </w:rPr>
      </w:pPr>
      <w:r>
        <w:rPr>
          <w:rFonts w:hint="eastAsia" w:asciiTheme="minorEastAsia" w:hAnsiTheme="minorEastAsia"/>
        </w:rPr>
        <w:t>8.2.4 加工后的坡口，不得有裂纹、夹渣、分层及熔渣等缺陷，当目视判断有疑问时，应按NB/T 47013.5进行渗透检测，合格级别为Ⅰ级。</w:t>
      </w:r>
    </w:p>
    <w:p>
      <w:pPr>
        <w:spacing w:line="360" w:lineRule="auto"/>
        <w:rPr>
          <w:rFonts w:asciiTheme="minorEastAsia" w:hAnsiTheme="minorEastAsia"/>
        </w:rPr>
      </w:pPr>
      <w:r>
        <w:rPr>
          <w:rFonts w:hint="eastAsia" w:asciiTheme="minorEastAsia" w:hAnsiTheme="minorEastAsia"/>
        </w:rPr>
        <w:t>8.2</w:t>
      </w:r>
      <w:r>
        <w:rPr>
          <w:rFonts w:asciiTheme="minorEastAsia" w:hAnsiTheme="minorEastAsia"/>
        </w:rPr>
        <w:t>.</w:t>
      </w:r>
      <w:r>
        <w:rPr>
          <w:rFonts w:hint="eastAsia" w:asciiTheme="minorEastAsia" w:hAnsiTheme="minorEastAsia"/>
        </w:rPr>
        <w:t>5</w:t>
      </w:r>
      <w:r>
        <w:rPr>
          <w:rFonts w:asciiTheme="minorEastAsia" w:hAnsiTheme="minorEastAsia"/>
        </w:rPr>
        <w:t xml:space="preserve"> </w:t>
      </w:r>
      <w:r>
        <w:rPr>
          <w:rFonts w:hint="eastAsia" w:asciiTheme="minorEastAsia" w:hAnsiTheme="minorEastAsia"/>
        </w:rPr>
        <w:t>坡口修磨时，应采用不锈钢砂轮片或不锈钢钢丝刷。</w:t>
      </w:r>
    </w:p>
    <w:p>
      <w:pPr>
        <w:spacing w:line="360" w:lineRule="auto"/>
        <w:rPr>
          <w:rFonts w:asciiTheme="minorEastAsia" w:hAnsiTheme="minorEastAsia"/>
        </w:rPr>
      </w:pPr>
      <w:r>
        <w:rPr>
          <w:rFonts w:hint="eastAsia" w:asciiTheme="minorEastAsia" w:hAnsiTheme="minorEastAsia"/>
        </w:rPr>
        <w:t xml:space="preserve">8.2.6 </w:t>
      </w:r>
      <w:r>
        <w:rPr>
          <w:rFonts w:asciiTheme="minorEastAsia" w:hAnsiTheme="minorEastAsia"/>
        </w:rPr>
        <w:t>焊件组对及焊接前，应将坡口及内外侧表面不小于25mm范围内的</w:t>
      </w:r>
      <w:r>
        <w:rPr>
          <w:rFonts w:hint="eastAsia" w:asciiTheme="minorEastAsia" w:hAnsiTheme="minorEastAsia"/>
        </w:rPr>
        <w:t>水分、铁锈、</w:t>
      </w:r>
      <w:r>
        <w:rPr>
          <w:rFonts w:asciiTheme="minorEastAsia" w:hAnsiTheme="minorEastAsia"/>
        </w:rPr>
        <w:t>杂质、毛刺、油污等清理干净，</w:t>
      </w:r>
      <w:r>
        <w:rPr>
          <w:rFonts w:hint="eastAsia" w:asciiTheme="minorEastAsia" w:hAnsiTheme="minorEastAsia"/>
        </w:rPr>
        <w:t>打磨至露出金属光泽</w:t>
      </w:r>
      <w:r>
        <w:rPr>
          <w:rFonts w:asciiTheme="minorEastAsia" w:hAnsiTheme="minorEastAsia"/>
        </w:rPr>
        <w:t>。</w:t>
      </w:r>
    </w:p>
    <w:p>
      <w:pPr>
        <w:spacing w:line="360" w:lineRule="auto"/>
        <w:rPr>
          <w:rFonts w:asciiTheme="minorEastAsia" w:hAnsiTheme="minorEastAsia"/>
        </w:rPr>
      </w:pPr>
      <w:r>
        <w:rPr>
          <w:rFonts w:hint="eastAsia" w:asciiTheme="minorEastAsia" w:hAnsiTheme="minorEastAsia"/>
        </w:rPr>
        <w:t>8.2.7 底板边缘板坡口加工完成后，四周150mm内应按NB/T47103.3进行100%UT检测，合格级别为Ⅰ级。</w:t>
      </w:r>
    </w:p>
    <w:p>
      <w:pPr>
        <w:spacing w:line="360" w:lineRule="auto"/>
        <w:rPr>
          <w:rFonts w:asciiTheme="minorEastAsia" w:hAnsiTheme="minorEastAsia"/>
        </w:rPr>
      </w:pPr>
      <w:r>
        <w:rPr>
          <w:rFonts w:hint="eastAsia" w:asciiTheme="minorEastAsia" w:hAnsiTheme="minorEastAsia"/>
        </w:rPr>
        <w:t>8.2.8 坡口加工完成后，对板材任意夹角进行剩磁检测，均不应大于50高斯。</w:t>
      </w:r>
    </w:p>
    <w:p>
      <w:pPr>
        <w:pStyle w:val="3"/>
        <w:spacing w:line="360" w:lineRule="auto"/>
        <w:rPr>
          <w:rFonts w:ascii="Times New Roman" w:hAnsi="Times New Roman" w:cs="Times New Roman"/>
        </w:rPr>
      </w:pPr>
      <w:bookmarkStart w:id="31" w:name="_Toc136765869"/>
      <w:bookmarkStart w:id="32" w:name="_Toc159410676"/>
      <w:r>
        <w:rPr>
          <w:rFonts w:hint="eastAsia" w:ascii="Times New Roman" w:hAnsi="Times New Roman" w:cs="Times New Roman"/>
        </w:rPr>
        <w:t>8.3 组对及定位焊接</w:t>
      </w:r>
      <w:bookmarkEnd w:id="31"/>
      <w:bookmarkEnd w:id="32"/>
    </w:p>
    <w:p>
      <w:pPr>
        <w:spacing w:line="360" w:lineRule="auto"/>
        <w:rPr>
          <w:rFonts w:asciiTheme="minorEastAsia" w:hAnsiTheme="minorEastAsia"/>
        </w:rPr>
      </w:pPr>
      <w:r>
        <w:rPr>
          <w:rFonts w:hint="eastAsia" w:asciiTheme="minorEastAsia" w:hAnsiTheme="minorEastAsia"/>
        </w:rPr>
        <w:t>8.</w:t>
      </w:r>
      <w:r>
        <w:rPr>
          <w:rFonts w:asciiTheme="minorEastAsia" w:hAnsiTheme="minorEastAsia"/>
        </w:rPr>
        <w:t xml:space="preserve">3.1 </w:t>
      </w:r>
      <w:r>
        <w:rPr>
          <w:rFonts w:hint="eastAsia" w:asciiTheme="minorEastAsia" w:hAnsiTheme="minorEastAsia"/>
        </w:rPr>
        <w:t>坡口组对，应符合设计文件和焊接工艺规程的要求。</w:t>
      </w:r>
    </w:p>
    <w:p>
      <w:pPr>
        <w:spacing w:line="360" w:lineRule="auto"/>
        <w:rPr>
          <w:rFonts w:asciiTheme="minorEastAsia" w:hAnsiTheme="minorEastAsia"/>
        </w:rPr>
      </w:pPr>
      <w:r>
        <w:rPr>
          <w:rFonts w:hint="eastAsia" w:asciiTheme="minorEastAsia" w:hAnsiTheme="minorEastAsia"/>
        </w:rPr>
        <w:t>8.3.2 定位焊宜采用手工焊条电弧焊，每段定位焊长度不宜小于100mm。</w:t>
      </w:r>
    </w:p>
    <w:p>
      <w:pPr>
        <w:spacing w:line="360" w:lineRule="auto"/>
        <w:rPr>
          <w:rFonts w:asciiTheme="minorEastAsia" w:hAnsiTheme="minorEastAsia"/>
        </w:rPr>
      </w:pPr>
      <w:r>
        <w:rPr>
          <w:rFonts w:hint="eastAsia" w:asciiTheme="minorEastAsia" w:hAnsiTheme="minorEastAsia"/>
        </w:rPr>
        <w:t>8.</w:t>
      </w:r>
      <w:r>
        <w:rPr>
          <w:rFonts w:asciiTheme="minorEastAsia" w:hAnsiTheme="minorEastAsia"/>
        </w:rPr>
        <w:t>3.</w:t>
      </w:r>
      <w:r>
        <w:rPr>
          <w:rFonts w:hint="eastAsia" w:asciiTheme="minorEastAsia" w:hAnsiTheme="minorEastAsia"/>
        </w:rPr>
        <w:t>3</w:t>
      </w:r>
      <w:r>
        <w:rPr>
          <w:rFonts w:asciiTheme="minorEastAsia" w:hAnsiTheme="minorEastAsia"/>
        </w:rPr>
        <w:t xml:space="preserve"> 定位焊和临时焊缝的焊接应由取得相应资格的焊接人员担任</w:t>
      </w:r>
      <w:r>
        <w:rPr>
          <w:rFonts w:hint="eastAsia" w:asciiTheme="minorEastAsia" w:hAnsiTheme="minorEastAsia"/>
        </w:rPr>
        <w:t>，并采用与正式焊相同的焊接工艺。</w:t>
      </w:r>
    </w:p>
    <w:p>
      <w:pPr>
        <w:spacing w:line="360" w:lineRule="auto"/>
        <w:rPr>
          <w:rFonts w:asciiTheme="minorEastAsia" w:hAnsiTheme="minorEastAsia"/>
        </w:rPr>
      </w:pPr>
      <w:r>
        <w:rPr>
          <w:rFonts w:hint="eastAsia" w:asciiTheme="minorEastAsia" w:hAnsiTheme="minorEastAsia"/>
        </w:rPr>
        <w:t>8.</w:t>
      </w:r>
      <w:r>
        <w:rPr>
          <w:rFonts w:asciiTheme="minorEastAsia" w:hAnsiTheme="minorEastAsia"/>
        </w:rPr>
        <w:t>3.</w:t>
      </w:r>
      <w:r>
        <w:rPr>
          <w:rFonts w:hint="eastAsia" w:asciiTheme="minorEastAsia" w:hAnsiTheme="minorEastAsia"/>
        </w:rPr>
        <w:t>4</w:t>
      </w:r>
      <w:r>
        <w:rPr>
          <w:rFonts w:asciiTheme="minorEastAsia" w:hAnsiTheme="minorEastAsia"/>
        </w:rPr>
        <w:t xml:space="preserve"> 在根部焊道焊接前，应对熔入正式焊缝的定位焊缝进行检查，</w:t>
      </w:r>
      <w:r>
        <w:rPr>
          <w:rFonts w:hint="eastAsia" w:asciiTheme="minorEastAsia" w:hAnsiTheme="minorEastAsia"/>
        </w:rPr>
        <w:t>定位焊缝</w:t>
      </w:r>
      <w:r>
        <w:rPr>
          <w:rFonts w:asciiTheme="minorEastAsia" w:hAnsiTheme="minorEastAsia"/>
        </w:rPr>
        <w:t>两端应圆滑过渡</w:t>
      </w:r>
      <w:r>
        <w:rPr>
          <w:rFonts w:hint="eastAsia" w:asciiTheme="minorEastAsia" w:hAnsiTheme="minorEastAsia"/>
        </w:rPr>
        <w:t>，</w:t>
      </w:r>
      <w:r>
        <w:rPr>
          <w:rFonts w:asciiTheme="minorEastAsia" w:hAnsiTheme="minorEastAsia"/>
        </w:rPr>
        <w:t>当发现缺陷时，</w:t>
      </w:r>
      <w:r>
        <w:rPr>
          <w:rFonts w:hint="eastAsia" w:asciiTheme="minorEastAsia" w:hAnsiTheme="minorEastAsia"/>
        </w:rPr>
        <w:t>按要求</w:t>
      </w:r>
      <w:r>
        <w:rPr>
          <w:rFonts w:asciiTheme="minorEastAsia" w:hAnsiTheme="minorEastAsia"/>
        </w:rPr>
        <w:t>处理</w:t>
      </w:r>
      <w:r>
        <w:rPr>
          <w:rFonts w:hint="eastAsia" w:asciiTheme="minorEastAsia" w:hAnsiTheme="minorEastAsia"/>
        </w:rPr>
        <w:t>合格</w:t>
      </w:r>
      <w:r>
        <w:rPr>
          <w:rFonts w:asciiTheme="minorEastAsia" w:hAnsiTheme="minorEastAsia"/>
        </w:rPr>
        <w:t>后方可施焊。</w:t>
      </w:r>
    </w:p>
    <w:p>
      <w:pPr>
        <w:spacing w:line="360" w:lineRule="auto"/>
        <w:rPr>
          <w:rFonts w:asciiTheme="minorEastAsia" w:hAnsiTheme="minorEastAsia"/>
        </w:rPr>
      </w:pPr>
      <w:r>
        <w:rPr>
          <w:rFonts w:hint="eastAsia" w:asciiTheme="minorEastAsia" w:hAnsiTheme="minorEastAsia"/>
        </w:rPr>
        <w:t>8.3.5 定位焊应对称分布。</w:t>
      </w:r>
    </w:p>
    <w:p>
      <w:pPr>
        <w:pStyle w:val="3"/>
        <w:spacing w:line="360" w:lineRule="auto"/>
        <w:rPr>
          <w:rFonts w:ascii="Times New Roman" w:hAnsi="Times New Roman" w:cs="Times New Roman"/>
        </w:rPr>
      </w:pPr>
      <w:bookmarkStart w:id="33" w:name="_Toc159410677"/>
      <w:r>
        <w:rPr>
          <w:rFonts w:hint="eastAsia" w:ascii="Times New Roman" w:hAnsi="Times New Roman" w:cs="Times New Roman"/>
        </w:rPr>
        <w:t>8.4  通用焊接要求</w:t>
      </w:r>
      <w:bookmarkEnd w:id="33"/>
    </w:p>
    <w:p>
      <w:pPr>
        <w:spacing w:line="360" w:lineRule="auto"/>
        <w:rPr>
          <w:rFonts w:asciiTheme="minorEastAsia" w:hAnsiTheme="minorEastAsia"/>
        </w:rPr>
      </w:pPr>
      <w:r>
        <w:rPr>
          <w:rFonts w:hint="eastAsia" w:asciiTheme="minorEastAsia" w:hAnsiTheme="minorEastAsia"/>
        </w:rPr>
        <w:t>8.4</w:t>
      </w:r>
      <w:r>
        <w:rPr>
          <w:rFonts w:asciiTheme="minorEastAsia" w:hAnsiTheme="minorEastAsia"/>
        </w:rPr>
        <w:t xml:space="preserve">.1 </w:t>
      </w:r>
      <w:r>
        <w:rPr>
          <w:rFonts w:hint="eastAsia" w:asciiTheme="minorEastAsia" w:hAnsiTheme="minorEastAsia"/>
        </w:rPr>
        <w:t>焊接前，检查组对质量，清除坡口表面及坡口两侧50mm范围内的泥沙、铁锈、水分及油污等，并应充分干燥。</w:t>
      </w:r>
    </w:p>
    <w:p>
      <w:pPr>
        <w:spacing w:line="360" w:lineRule="auto"/>
        <w:rPr>
          <w:rFonts w:asciiTheme="minorEastAsia" w:hAnsiTheme="minorEastAsia"/>
        </w:rPr>
      </w:pPr>
      <w:r>
        <w:rPr>
          <w:rFonts w:hint="eastAsia" w:asciiTheme="minorEastAsia" w:hAnsiTheme="minorEastAsia"/>
        </w:rPr>
        <w:t>8.4</w:t>
      </w:r>
      <w:r>
        <w:rPr>
          <w:rFonts w:asciiTheme="minorEastAsia" w:hAnsiTheme="minorEastAsia"/>
        </w:rPr>
        <w:t xml:space="preserve">.2 </w:t>
      </w:r>
      <w:r>
        <w:rPr>
          <w:rFonts w:hint="eastAsia" w:asciiTheme="minorEastAsia" w:hAnsiTheme="minorEastAsia"/>
        </w:rPr>
        <w:t>焊接中应保证焊道始端和终端的质量，终端应将弧坑填满。</w:t>
      </w:r>
    </w:p>
    <w:p>
      <w:pPr>
        <w:spacing w:line="360" w:lineRule="auto"/>
        <w:rPr>
          <w:rFonts w:asciiTheme="minorEastAsia" w:hAnsiTheme="minorEastAsia"/>
        </w:rPr>
      </w:pPr>
      <w:r>
        <w:rPr>
          <w:rFonts w:hint="eastAsia" w:asciiTheme="minorEastAsia" w:hAnsiTheme="minorEastAsia"/>
        </w:rPr>
        <w:t>8.4</w:t>
      </w:r>
      <w:r>
        <w:rPr>
          <w:rFonts w:asciiTheme="minorEastAsia" w:hAnsiTheme="minorEastAsia"/>
        </w:rPr>
        <w:t xml:space="preserve">.3 </w:t>
      </w:r>
      <w:r>
        <w:rPr>
          <w:rFonts w:hint="eastAsia" w:asciiTheme="minorEastAsia" w:hAnsiTheme="minorEastAsia"/>
        </w:rPr>
        <w:t>焊接过程中，控制焊接热输入，每层焊道厚度不宜超过4mm。。</w:t>
      </w:r>
    </w:p>
    <w:p>
      <w:pPr>
        <w:spacing w:line="360" w:lineRule="auto"/>
        <w:rPr>
          <w:rFonts w:asciiTheme="minorEastAsia" w:hAnsiTheme="minorEastAsia"/>
        </w:rPr>
      </w:pPr>
      <w:r>
        <w:rPr>
          <w:rFonts w:hint="eastAsia" w:asciiTheme="minorEastAsia" w:hAnsiTheme="minorEastAsia"/>
        </w:rPr>
        <w:t>8.4.4 多层多道焊的焊接接头应错开50mm以上。</w:t>
      </w:r>
    </w:p>
    <w:p>
      <w:pPr>
        <w:spacing w:line="360" w:lineRule="auto"/>
        <w:rPr>
          <w:rFonts w:asciiTheme="minorEastAsia" w:hAnsiTheme="minorEastAsia"/>
        </w:rPr>
      </w:pPr>
      <w:r>
        <w:rPr>
          <w:rFonts w:hint="eastAsia" w:asciiTheme="minorEastAsia" w:hAnsiTheme="minorEastAsia"/>
        </w:rPr>
        <w:t>8.4.5 焊接过程中，道间温度不得超过100℃。</w:t>
      </w:r>
    </w:p>
    <w:p>
      <w:pPr>
        <w:spacing w:line="360" w:lineRule="auto"/>
        <w:rPr>
          <w:rFonts w:asciiTheme="minorEastAsia" w:hAnsiTheme="minorEastAsia"/>
        </w:rPr>
      </w:pPr>
      <w:r>
        <w:rPr>
          <w:rFonts w:hint="eastAsia" w:asciiTheme="minorEastAsia" w:hAnsiTheme="minorEastAsia"/>
        </w:rPr>
        <w:t>8.4.6 角焊缝至少焊接2道。</w:t>
      </w:r>
    </w:p>
    <w:p>
      <w:pPr>
        <w:spacing w:line="360" w:lineRule="auto"/>
        <w:rPr>
          <w:rFonts w:asciiTheme="minorEastAsia" w:hAnsiTheme="minorEastAsia"/>
        </w:rPr>
      </w:pPr>
      <w:r>
        <w:rPr>
          <w:rFonts w:hint="eastAsia" w:asciiTheme="minorEastAsia" w:hAnsiTheme="minorEastAsia"/>
        </w:rPr>
        <w:t>8.4.7 背面焊接时，应对焊缝背面进行清根，可采用等离子清根机、不锈钢砂轮片等进行背面清理。焊缝背面宜清理至U形，避免形成尖角。清根完成后，应按NB/T47013.5进行100%渗透检测，合格级别为Ⅰ级。</w:t>
      </w:r>
    </w:p>
    <w:p>
      <w:pPr>
        <w:spacing w:line="360" w:lineRule="auto"/>
        <w:rPr>
          <w:rFonts w:asciiTheme="minorEastAsia" w:hAnsiTheme="minorEastAsia"/>
        </w:rPr>
      </w:pPr>
      <w:r>
        <w:rPr>
          <w:rFonts w:hint="eastAsia" w:asciiTheme="minorEastAsia" w:hAnsiTheme="minorEastAsia"/>
        </w:rPr>
        <w:t>8.4.8 焊接时，及时清除层道间药皮、熔渣、焊剂等杂物，并注意观察是否有缺陷产生。</w:t>
      </w:r>
    </w:p>
    <w:p>
      <w:pPr>
        <w:spacing w:line="360" w:lineRule="auto"/>
        <w:rPr>
          <w:rFonts w:asciiTheme="minorEastAsia" w:hAnsiTheme="minorEastAsia"/>
        </w:rPr>
      </w:pPr>
      <w:r>
        <w:rPr>
          <w:rFonts w:hint="eastAsia" w:asciiTheme="minorEastAsia" w:hAnsiTheme="minorEastAsia"/>
        </w:rPr>
        <w:t>8.4.9 当焊接过程出现磁偏吹时，应停止施焊，采取措施消除磁偏吹。</w:t>
      </w:r>
    </w:p>
    <w:p>
      <w:pPr>
        <w:spacing w:line="360" w:lineRule="auto"/>
        <w:rPr>
          <w:rFonts w:asciiTheme="minorEastAsia" w:hAnsiTheme="minorEastAsia"/>
        </w:rPr>
      </w:pPr>
      <w:r>
        <w:rPr>
          <w:rFonts w:hint="eastAsia" w:asciiTheme="minorEastAsia" w:hAnsiTheme="minorEastAsia"/>
        </w:rPr>
        <w:t>8.4.10 焊接时，采取对称焊、反变形等焊接工艺措施，减少焊接接头收缩变形。</w:t>
      </w:r>
    </w:p>
    <w:p>
      <w:pPr>
        <w:pStyle w:val="3"/>
        <w:spacing w:line="360" w:lineRule="auto"/>
        <w:rPr>
          <w:rFonts w:ascii="Times New Roman" w:hAnsi="Times New Roman" w:cs="Times New Roman"/>
        </w:rPr>
      </w:pPr>
      <w:bookmarkStart w:id="34" w:name="_Toc159410678"/>
      <w:bookmarkStart w:id="35" w:name="_Toc136765870"/>
      <w:r>
        <w:rPr>
          <w:rFonts w:hint="eastAsia" w:ascii="Times New Roman" w:hAnsi="Times New Roman" w:cs="Times New Roman"/>
        </w:rPr>
        <w:t>8.5  储罐壁板环焊缝</w:t>
      </w:r>
      <w:bookmarkEnd w:id="34"/>
    </w:p>
    <w:p>
      <w:pPr>
        <w:spacing w:line="360" w:lineRule="auto"/>
        <w:rPr>
          <w:rFonts w:asciiTheme="minorEastAsia" w:hAnsiTheme="minorEastAsia"/>
        </w:rPr>
      </w:pPr>
      <w:r>
        <w:rPr>
          <w:rFonts w:hint="eastAsia" w:asciiTheme="minorEastAsia" w:hAnsiTheme="minorEastAsia"/>
        </w:rPr>
        <w:t>8.5.</w:t>
      </w:r>
      <w:r>
        <w:rPr>
          <w:rFonts w:asciiTheme="minorEastAsia" w:hAnsiTheme="minorEastAsia"/>
        </w:rPr>
        <w:t>1</w:t>
      </w:r>
      <w:r>
        <w:rPr>
          <w:rFonts w:hint="eastAsia" w:asciiTheme="minorEastAsia" w:hAnsiTheme="minorEastAsia"/>
        </w:rPr>
        <w:t xml:space="preserve"> 埋弧横焊机的焊接电源宜为交直流两用电源，可根据焊接工艺规程和焊接材料的要求进行转换，焊接电源功率应不小于30KW以及600A以上。</w:t>
      </w:r>
    </w:p>
    <w:p>
      <w:pPr>
        <w:spacing w:line="360" w:lineRule="auto"/>
        <w:rPr>
          <w:rFonts w:asciiTheme="minorEastAsia" w:hAnsiTheme="minorEastAsia"/>
        </w:rPr>
      </w:pPr>
      <w:r>
        <w:rPr>
          <w:rFonts w:hint="eastAsia" w:asciiTheme="minorEastAsia" w:hAnsiTheme="minorEastAsia"/>
        </w:rPr>
        <w:t>8.5.</w:t>
      </w:r>
      <w:r>
        <w:rPr>
          <w:rFonts w:asciiTheme="minorEastAsia" w:hAnsiTheme="minorEastAsia"/>
        </w:rPr>
        <w:t>2</w:t>
      </w:r>
      <w:r>
        <w:rPr>
          <w:rFonts w:hint="eastAsia" w:asciiTheme="minorEastAsia" w:hAnsiTheme="minorEastAsia"/>
        </w:rPr>
        <w:t xml:space="preserve"> 埋弧横焊机应具备双面焊剂保护功能，且双面均宜配备焊剂保护循环回收装置。</w:t>
      </w:r>
    </w:p>
    <w:p>
      <w:pPr>
        <w:spacing w:line="360" w:lineRule="auto"/>
        <w:rPr>
          <w:rFonts w:asciiTheme="minorEastAsia" w:hAnsiTheme="minorEastAsia"/>
        </w:rPr>
      </w:pPr>
      <w:r>
        <w:rPr>
          <w:rFonts w:hint="eastAsia" w:asciiTheme="minorEastAsia" w:hAnsiTheme="minorEastAsia"/>
        </w:rPr>
        <w:t>8.5.</w:t>
      </w:r>
      <w:r>
        <w:rPr>
          <w:rFonts w:asciiTheme="minorEastAsia" w:hAnsiTheme="minorEastAsia"/>
        </w:rPr>
        <w:t>3</w:t>
      </w:r>
      <w:r>
        <w:rPr>
          <w:rFonts w:hint="eastAsia" w:asciiTheme="minorEastAsia" w:hAnsiTheme="minorEastAsia"/>
        </w:rPr>
        <w:t xml:space="preserve"> 埋弧横焊机机架尺寸根据壁板宽度、加强圈位置进行设计，为适应不同尺寸壁板，宜设置为可调节式机架。</w:t>
      </w:r>
    </w:p>
    <w:p>
      <w:pPr>
        <w:spacing w:line="360" w:lineRule="auto"/>
        <w:jc w:val="left"/>
        <w:rPr>
          <w:rFonts w:ascii="宋体" w:hAnsi="宋体"/>
        </w:rPr>
      </w:pPr>
      <w:r>
        <w:rPr>
          <w:rFonts w:hint="eastAsia" w:asciiTheme="minorEastAsia" w:hAnsiTheme="minorEastAsia"/>
        </w:rPr>
        <w:t>8.5.</w:t>
      </w:r>
      <w:r>
        <w:rPr>
          <w:rFonts w:asciiTheme="minorEastAsia" w:hAnsiTheme="minorEastAsia"/>
        </w:rPr>
        <w:t>4</w:t>
      </w:r>
      <w:r>
        <w:rPr>
          <w:rFonts w:hint="eastAsia" w:asciiTheme="minorEastAsia" w:hAnsiTheme="minorEastAsia"/>
        </w:rPr>
        <w:t xml:space="preserve"> 埋弧横焊机</w:t>
      </w:r>
      <w:r>
        <w:rPr>
          <w:rFonts w:hint="eastAsia" w:ascii="宋体" w:hAnsi="宋体"/>
        </w:rPr>
        <w:t>二次电缆应根据</w:t>
      </w:r>
      <w:r>
        <w:rPr>
          <w:rFonts w:hint="eastAsia" w:asciiTheme="minorEastAsia" w:hAnsiTheme="minorEastAsia"/>
        </w:rPr>
        <w:t>壁板</w:t>
      </w:r>
      <w:r>
        <w:rPr>
          <w:rFonts w:hint="eastAsia" w:ascii="宋体" w:hAnsi="宋体"/>
        </w:rPr>
        <w:t>高度进行配置，宜为80</w:t>
      </w:r>
      <w:r>
        <w:rPr>
          <w:rFonts w:hint="eastAsia" w:ascii="宋体" w:hAnsi="宋体" w:cs="宋体"/>
        </w:rPr>
        <w:t>～</w:t>
      </w:r>
      <w:r>
        <w:rPr>
          <w:rFonts w:hint="eastAsia" w:ascii="宋体" w:hAnsi="宋体"/>
        </w:rPr>
        <w:t>100m。</w:t>
      </w:r>
    </w:p>
    <w:p>
      <w:pPr>
        <w:spacing w:line="360" w:lineRule="auto"/>
        <w:rPr>
          <w:rFonts w:asciiTheme="minorEastAsia" w:hAnsiTheme="minorEastAsia"/>
        </w:rPr>
      </w:pPr>
      <w:r>
        <w:rPr>
          <w:rFonts w:hint="eastAsia" w:asciiTheme="minorEastAsia" w:hAnsiTheme="minorEastAsia"/>
        </w:rPr>
        <w:t>8.5.</w:t>
      </w:r>
      <w:r>
        <w:rPr>
          <w:rFonts w:asciiTheme="minorEastAsia" w:hAnsiTheme="minorEastAsia"/>
        </w:rPr>
        <w:t>5</w:t>
      </w:r>
      <w:r>
        <w:rPr>
          <w:rFonts w:hint="eastAsia" w:asciiTheme="minorEastAsia" w:hAnsiTheme="minorEastAsia"/>
        </w:rPr>
        <w:t xml:space="preserve"> 壁板环焊缝组对时，壁板内壁应平齐，推荐的坡口尺寸见图8.5.2，</w:t>
      </w:r>
      <w:r>
        <w:rPr>
          <w:rFonts w:hint="eastAsia"/>
        </w:rPr>
        <w:t>推荐的埋弧焊接工艺参数见表8.5.2</w:t>
      </w:r>
      <w:r>
        <w:rPr>
          <w:rFonts w:hint="eastAsia" w:asciiTheme="minorEastAsia" w:hAnsiTheme="minorEastAsia"/>
        </w:rPr>
        <w:t>。</w:t>
      </w:r>
    </w:p>
    <w:p>
      <w:pPr>
        <w:spacing w:line="360" w:lineRule="auto"/>
        <w:rPr>
          <w:rFonts w:asciiTheme="minorEastAsia" w:hAnsiTheme="minorEastAsia"/>
        </w:rPr>
      </w:pPr>
      <w:r>
        <w:rPr>
          <w:rFonts w:hint="eastAsia" w:asciiTheme="minorEastAsia" w:hAnsiTheme="minorEastAsia"/>
        </w:rPr>
        <w:t>8.5.</w:t>
      </w:r>
      <w:r>
        <w:rPr>
          <w:rFonts w:asciiTheme="minorEastAsia" w:hAnsiTheme="minorEastAsia"/>
        </w:rPr>
        <w:t>6</w:t>
      </w:r>
      <w:r>
        <w:rPr>
          <w:rFonts w:hint="eastAsia" w:asciiTheme="minorEastAsia" w:hAnsiTheme="minorEastAsia"/>
        </w:rPr>
        <w:t xml:space="preserve"> 壁板环焊缝应采用埋弧焊打底、填充、盖面的焊接工艺。</w:t>
      </w:r>
    </w:p>
    <w:p>
      <w:pPr>
        <w:spacing w:line="360" w:lineRule="auto"/>
        <w:jc w:val="center"/>
        <w:rPr>
          <w:rFonts w:asciiTheme="minorEastAsia" w:hAnsiTheme="minorEastAsia"/>
        </w:rPr>
      </w:pPr>
      <w:r>
        <w:rPr>
          <w:rFonts w:hint="eastAsia" w:asciiTheme="minorEastAsia" w:hAnsiTheme="minorEastAsia"/>
        </w:rPr>
        <w:object>
          <v:shape id="_x0000_i1025" o:spt="75" type="#_x0000_t75" style="height:207pt;width:179.25pt;" o:ole="t" filled="f" o:preferrelative="t" stroked="f" coordsize="21600,21600">
            <v:path/>
            <v:fill on="f" focussize="0,0"/>
            <v:stroke on="f" joinstyle="miter"/>
            <v:imagedata r:id="rId8" cropleft="18042f" croptop="16130f" cropright="43797f" cropbottom="33621f" o:title=""/>
            <o:lock v:ext="edit" aspectratio="t"/>
            <w10:wrap type="none"/>
            <w10:anchorlock/>
          </v:shape>
          <o:OLEObject Type="Embed" ProgID="AutoCAD.Drawing.24" ShapeID="_x0000_i1025" DrawAspect="Content" ObjectID="_1468075725" r:id="rId7">
            <o:LockedField>false</o:LockedField>
          </o:OLEObject>
        </w:object>
      </w:r>
      <w:r>
        <w:rPr>
          <w:rFonts w:hint="eastAsia" w:asciiTheme="minorEastAsia" w:hAnsiTheme="minorEastAsia"/>
        </w:rPr>
        <w:t xml:space="preserve">   </w:t>
      </w:r>
      <w:r>
        <w:rPr>
          <w:rFonts w:hint="eastAsia" w:asciiTheme="minorEastAsia" w:hAnsiTheme="minorEastAsia"/>
        </w:rPr>
        <w:object>
          <v:shape id="_x0000_i1026" o:spt="75" type="#_x0000_t75" style="height:203.25pt;width:184.5pt;" o:ole="t" filled="f" o:preferrelative="t" stroked="f" coordsize="21600,21600">
            <v:path/>
            <v:fill on="f" focussize="0,0"/>
            <v:stroke on="f" joinstyle="miter"/>
            <v:imagedata r:id="rId8" cropleft="21597f" croptop="15943f" cropright="39989f" cropbottom="32891f" o:title=""/>
            <o:lock v:ext="edit" aspectratio="t"/>
            <w10:wrap type="none"/>
            <w10:anchorlock/>
          </v:shape>
          <o:OLEObject Type="Embed" ProgID="AutoCAD.Drawing.24" ShapeID="_x0000_i1026" DrawAspect="Content" ObjectID="_1468075726" r:id="rId9">
            <o:LockedField>false</o:LockedField>
          </o:OLEObject>
        </w:object>
      </w:r>
    </w:p>
    <w:p>
      <w:pPr>
        <w:spacing w:line="360" w:lineRule="auto"/>
        <w:jc w:val="center"/>
        <w:rPr>
          <w:rFonts w:ascii="宋体" w:hAnsi="宋体" w:cs="宋体"/>
        </w:rPr>
      </w:pPr>
      <w:r>
        <w:rPr>
          <w:rFonts w:hint="eastAsia" w:ascii="宋体" w:hAnsi="宋体" w:cs="宋体"/>
        </w:rPr>
        <w:t>T1≤12mm                            T1＞12mm</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2"/>
        <w:gridCol w:w="1382"/>
        <w:gridCol w:w="1387"/>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vAlign w:val="center"/>
          </w:tcPr>
          <w:p>
            <w:pPr>
              <w:spacing w:line="0" w:lineRule="atLeast"/>
              <w:jc w:val="center"/>
              <w:rPr>
                <w:rFonts w:ascii="宋体" w:hAnsi="宋体" w:cs="宋体"/>
              </w:rPr>
            </w:pPr>
            <w:r>
              <w:rPr>
                <w:rFonts w:hint="eastAsia" w:ascii="宋体" w:hAnsi="宋体" w:cs="宋体"/>
              </w:rPr>
              <w:t>壁板厚度/mm</w:t>
            </w:r>
          </w:p>
        </w:tc>
        <w:tc>
          <w:tcPr>
            <w:tcW w:w="1382" w:type="dxa"/>
            <w:vAlign w:val="center"/>
          </w:tcPr>
          <w:p>
            <w:pPr>
              <w:spacing w:line="0" w:lineRule="atLeast"/>
              <w:jc w:val="center"/>
              <w:rPr>
                <w:rFonts w:ascii="宋体" w:hAnsi="宋体" w:cs="宋体"/>
              </w:rPr>
            </w:pPr>
            <w:r>
              <w:rPr>
                <w:rFonts w:hint="eastAsia" w:ascii="宋体" w:hAnsi="宋体" w:cs="宋体"/>
              </w:rPr>
              <w:t>焊丝直径/mm</w:t>
            </w:r>
          </w:p>
        </w:tc>
        <w:tc>
          <w:tcPr>
            <w:tcW w:w="1382" w:type="dxa"/>
            <w:vAlign w:val="center"/>
          </w:tcPr>
          <w:p>
            <w:pPr>
              <w:spacing w:line="0" w:lineRule="atLeast"/>
              <w:jc w:val="center"/>
              <w:rPr>
                <w:rFonts w:ascii="宋体" w:hAnsi="宋体" w:cs="宋体"/>
              </w:rPr>
            </w:pPr>
            <w:r>
              <w:rPr>
                <w:rFonts w:hint="eastAsia" w:ascii="宋体" w:hAnsi="宋体" w:cs="宋体"/>
              </w:rPr>
              <w:t>p</w:t>
            </w:r>
          </w:p>
        </w:tc>
        <w:tc>
          <w:tcPr>
            <w:tcW w:w="1382" w:type="dxa"/>
            <w:vAlign w:val="center"/>
          </w:tcPr>
          <w:p>
            <w:pPr>
              <w:spacing w:line="0" w:lineRule="atLeast"/>
              <w:jc w:val="center"/>
              <w:rPr>
                <w:rFonts w:ascii="宋体" w:hAnsi="宋体" w:cs="宋体"/>
              </w:rPr>
            </w:pPr>
            <w:r>
              <w:rPr>
                <w:rFonts w:hint="eastAsia" w:ascii="宋体" w:hAnsi="宋体" w:cs="宋体"/>
              </w:rPr>
              <w:t>b</w:t>
            </w:r>
          </w:p>
        </w:tc>
        <w:tc>
          <w:tcPr>
            <w:tcW w:w="1387" w:type="dxa"/>
            <w:vAlign w:val="center"/>
          </w:tcPr>
          <w:p>
            <w:pPr>
              <w:spacing w:line="0" w:lineRule="atLeast"/>
              <w:jc w:val="center"/>
              <w:rPr>
                <w:rFonts w:ascii="宋体" w:hAnsi="宋体" w:cs="宋体"/>
              </w:rPr>
            </w:pPr>
            <w:r>
              <w:rPr>
                <w:rFonts w:hint="eastAsia" w:ascii="宋体" w:hAnsi="宋体" w:cs="宋体"/>
              </w:rPr>
              <w:t>β1</w:t>
            </w:r>
          </w:p>
        </w:tc>
        <w:tc>
          <w:tcPr>
            <w:tcW w:w="1387" w:type="dxa"/>
            <w:vAlign w:val="center"/>
          </w:tcPr>
          <w:p>
            <w:pPr>
              <w:spacing w:line="0" w:lineRule="atLeast"/>
              <w:jc w:val="center"/>
              <w:rPr>
                <w:rFonts w:ascii="宋体" w:hAnsi="宋体" w:cs="宋体"/>
              </w:rPr>
            </w:pPr>
            <w:r>
              <w:rPr>
                <w:rFonts w:hint="eastAsia" w:ascii="宋体" w:hAnsi="宋体" w:cs="宋体"/>
              </w:rPr>
              <w:t>β1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vAlign w:val="center"/>
          </w:tcPr>
          <w:p>
            <w:pPr>
              <w:spacing w:line="0" w:lineRule="atLeast"/>
              <w:jc w:val="center"/>
              <w:rPr>
                <w:rFonts w:ascii="宋体" w:hAnsi="宋体" w:cs="宋体"/>
              </w:rPr>
            </w:pPr>
            <w:r>
              <w:rPr>
                <w:rFonts w:hint="eastAsia" w:ascii="宋体" w:hAnsi="宋体" w:cs="宋体"/>
              </w:rPr>
              <w:t>T1≤12</w:t>
            </w:r>
          </w:p>
        </w:tc>
        <w:tc>
          <w:tcPr>
            <w:tcW w:w="1382" w:type="dxa"/>
            <w:vAlign w:val="center"/>
          </w:tcPr>
          <w:p>
            <w:pPr>
              <w:spacing w:line="0" w:lineRule="atLeast"/>
              <w:jc w:val="center"/>
              <w:rPr>
                <w:rFonts w:ascii="宋体" w:hAnsi="宋体" w:cs="宋体"/>
              </w:rPr>
            </w:pPr>
            <w:r>
              <w:rPr>
                <w:rFonts w:hint="eastAsia" w:ascii="宋体" w:hAnsi="宋体" w:cs="宋体"/>
              </w:rPr>
              <w:t>Ф1.6</w:t>
            </w:r>
            <w:r>
              <w:rPr>
                <w:rFonts w:ascii="宋体" w:hAnsi="宋体" w:cs="宋体"/>
              </w:rPr>
              <w:t>/</w:t>
            </w:r>
            <w:r>
              <w:rPr>
                <w:rFonts w:hint="eastAsia" w:ascii="宋体" w:hAnsi="宋体" w:cs="宋体"/>
              </w:rPr>
              <w:t>Ф2.4</w:t>
            </w:r>
          </w:p>
        </w:tc>
        <w:tc>
          <w:tcPr>
            <w:tcW w:w="1382" w:type="dxa"/>
            <w:vAlign w:val="center"/>
          </w:tcPr>
          <w:p>
            <w:pPr>
              <w:spacing w:line="0" w:lineRule="atLeast"/>
              <w:jc w:val="center"/>
              <w:rPr>
                <w:rFonts w:ascii="宋体" w:hAnsi="宋体" w:cs="宋体"/>
              </w:rPr>
            </w:pPr>
            <w:r>
              <w:rPr>
                <w:rFonts w:ascii="宋体" w:hAnsi="宋体" w:cs="宋体"/>
              </w:rPr>
              <w:t>1</w:t>
            </w:r>
            <w:r>
              <w:rPr>
                <w:rFonts w:hint="eastAsia" w:ascii="宋体" w:hAnsi="宋体" w:cs="宋体"/>
              </w:rPr>
              <w:t>～</w:t>
            </w:r>
            <w:r>
              <w:rPr>
                <w:rFonts w:ascii="宋体" w:hAnsi="宋体" w:cs="宋体"/>
              </w:rPr>
              <w:t>2</w:t>
            </w:r>
            <w:r>
              <w:rPr>
                <w:rFonts w:hint="eastAsia" w:ascii="宋体" w:hAnsi="宋体" w:cs="宋体"/>
              </w:rPr>
              <w:t>mm</w:t>
            </w:r>
          </w:p>
        </w:tc>
        <w:tc>
          <w:tcPr>
            <w:tcW w:w="1382" w:type="dxa"/>
            <w:vAlign w:val="center"/>
          </w:tcPr>
          <w:p>
            <w:pPr>
              <w:spacing w:line="0" w:lineRule="atLeast"/>
              <w:jc w:val="center"/>
              <w:rPr>
                <w:rFonts w:ascii="宋体" w:hAnsi="宋体" w:cs="宋体"/>
              </w:rPr>
            </w:pPr>
            <w:r>
              <w:rPr>
                <w:rFonts w:ascii="宋体" w:hAnsi="宋体" w:cs="宋体"/>
              </w:rPr>
              <w:t>3</w:t>
            </w:r>
            <w:r>
              <w:rPr>
                <w:rFonts w:hint="eastAsia" w:ascii="宋体" w:hAnsi="宋体" w:cs="宋体"/>
              </w:rPr>
              <w:t>～</w:t>
            </w:r>
            <w:r>
              <w:rPr>
                <w:rFonts w:ascii="宋体" w:hAnsi="宋体" w:cs="宋体"/>
              </w:rPr>
              <w:t>4</w:t>
            </w:r>
            <w:r>
              <w:rPr>
                <w:rFonts w:hint="eastAsia" w:ascii="宋体" w:hAnsi="宋体" w:cs="宋体"/>
              </w:rPr>
              <w:t>mm</w:t>
            </w:r>
          </w:p>
        </w:tc>
        <w:tc>
          <w:tcPr>
            <w:tcW w:w="1387" w:type="dxa"/>
            <w:vAlign w:val="center"/>
          </w:tcPr>
          <w:p>
            <w:pPr>
              <w:spacing w:line="0" w:lineRule="atLeast"/>
              <w:jc w:val="center"/>
              <w:rPr>
                <w:rFonts w:ascii="宋体" w:hAnsi="宋体" w:cs="宋体"/>
              </w:rPr>
            </w:pPr>
            <w:r>
              <w:rPr>
                <w:rFonts w:hint="eastAsia" w:ascii="宋体" w:hAnsi="宋体" w:cs="宋体"/>
              </w:rPr>
              <w:t>40～50°</w:t>
            </w:r>
          </w:p>
        </w:tc>
        <w:tc>
          <w:tcPr>
            <w:tcW w:w="1387" w:type="dxa"/>
            <w:vAlign w:val="center"/>
          </w:tcPr>
          <w:p>
            <w:pPr>
              <w:spacing w:line="0" w:lineRule="atLeast"/>
              <w:jc w:val="center"/>
              <w:rPr>
                <w:rFonts w:ascii="宋体" w:hAnsi="宋体" w:cs="宋体"/>
              </w:rPr>
            </w:pPr>
            <w:r>
              <w:rPr>
                <w:rFonts w:hint="eastAsia" w:ascii="宋体" w:hAnsi="宋体" w:cs="宋体"/>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vAlign w:val="center"/>
          </w:tcPr>
          <w:p>
            <w:pPr>
              <w:spacing w:line="0" w:lineRule="atLeast"/>
              <w:jc w:val="center"/>
              <w:rPr>
                <w:rFonts w:ascii="宋体" w:hAnsi="宋体" w:cs="宋体"/>
              </w:rPr>
            </w:pPr>
            <w:r>
              <w:rPr>
                <w:rFonts w:hint="eastAsia" w:ascii="宋体" w:hAnsi="宋体" w:cs="宋体"/>
              </w:rPr>
              <w:t>T1＞12</w:t>
            </w:r>
          </w:p>
        </w:tc>
        <w:tc>
          <w:tcPr>
            <w:tcW w:w="1382" w:type="dxa"/>
            <w:vAlign w:val="center"/>
          </w:tcPr>
          <w:p>
            <w:pPr>
              <w:spacing w:line="0" w:lineRule="atLeast"/>
              <w:jc w:val="center"/>
              <w:rPr>
                <w:rFonts w:ascii="宋体" w:hAnsi="宋体" w:cs="宋体"/>
              </w:rPr>
            </w:pPr>
            <w:r>
              <w:rPr>
                <w:rFonts w:hint="eastAsia" w:ascii="宋体" w:hAnsi="宋体" w:cs="宋体"/>
              </w:rPr>
              <w:t>Ф1.6</w:t>
            </w:r>
            <w:r>
              <w:rPr>
                <w:rFonts w:ascii="宋体" w:hAnsi="宋体" w:cs="宋体"/>
              </w:rPr>
              <w:t>/</w:t>
            </w:r>
            <w:r>
              <w:rPr>
                <w:rFonts w:hint="eastAsia" w:ascii="宋体" w:hAnsi="宋体" w:cs="宋体"/>
              </w:rPr>
              <w:t>Ф2.4</w:t>
            </w:r>
          </w:p>
        </w:tc>
        <w:tc>
          <w:tcPr>
            <w:tcW w:w="1382" w:type="dxa"/>
            <w:vAlign w:val="center"/>
          </w:tcPr>
          <w:p>
            <w:pPr>
              <w:spacing w:line="0" w:lineRule="atLeast"/>
              <w:jc w:val="center"/>
              <w:rPr>
                <w:rFonts w:ascii="宋体" w:hAnsi="宋体" w:cs="宋体"/>
              </w:rPr>
            </w:pPr>
            <w:r>
              <w:rPr>
                <w:rFonts w:ascii="宋体" w:hAnsi="宋体" w:cs="宋体"/>
              </w:rPr>
              <w:t>1</w:t>
            </w:r>
            <w:r>
              <w:rPr>
                <w:rFonts w:hint="eastAsia" w:ascii="宋体" w:hAnsi="宋体" w:cs="宋体"/>
              </w:rPr>
              <w:t>～</w:t>
            </w:r>
            <w:r>
              <w:rPr>
                <w:rFonts w:ascii="宋体" w:hAnsi="宋体" w:cs="宋体"/>
              </w:rPr>
              <w:t>2</w:t>
            </w:r>
            <w:r>
              <w:rPr>
                <w:rFonts w:hint="eastAsia" w:ascii="宋体" w:hAnsi="宋体" w:cs="宋体"/>
              </w:rPr>
              <w:t>mm</w:t>
            </w:r>
          </w:p>
        </w:tc>
        <w:tc>
          <w:tcPr>
            <w:tcW w:w="1382" w:type="dxa"/>
            <w:vAlign w:val="center"/>
          </w:tcPr>
          <w:p>
            <w:pPr>
              <w:spacing w:line="0" w:lineRule="atLeast"/>
              <w:jc w:val="center"/>
              <w:rPr>
                <w:rFonts w:ascii="宋体" w:hAnsi="宋体" w:cs="宋体"/>
              </w:rPr>
            </w:pPr>
            <w:r>
              <w:rPr>
                <w:rFonts w:ascii="宋体" w:hAnsi="宋体" w:cs="宋体"/>
              </w:rPr>
              <w:t>3</w:t>
            </w:r>
            <w:r>
              <w:rPr>
                <w:rFonts w:hint="eastAsia" w:ascii="宋体" w:hAnsi="宋体" w:cs="宋体"/>
              </w:rPr>
              <w:t>～</w:t>
            </w:r>
            <w:r>
              <w:rPr>
                <w:rFonts w:ascii="宋体" w:hAnsi="宋体" w:cs="宋体"/>
              </w:rPr>
              <w:t>4</w:t>
            </w:r>
            <w:r>
              <w:rPr>
                <w:rFonts w:hint="eastAsia" w:ascii="宋体" w:hAnsi="宋体" w:cs="宋体"/>
              </w:rPr>
              <w:t>mm</w:t>
            </w:r>
          </w:p>
        </w:tc>
        <w:tc>
          <w:tcPr>
            <w:tcW w:w="1387" w:type="dxa"/>
            <w:vAlign w:val="center"/>
          </w:tcPr>
          <w:p>
            <w:pPr>
              <w:spacing w:line="0" w:lineRule="atLeast"/>
              <w:jc w:val="center"/>
              <w:rPr>
                <w:rFonts w:ascii="宋体" w:hAnsi="宋体" w:cs="宋体"/>
              </w:rPr>
            </w:pPr>
            <w:r>
              <w:rPr>
                <w:rFonts w:hint="eastAsia" w:ascii="宋体" w:hAnsi="宋体" w:cs="宋体"/>
              </w:rPr>
              <w:t>40～50°</w:t>
            </w:r>
          </w:p>
        </w:tc>
        <w:tc>
          <w:tcPr>
            <w:tcW w:w="1387" w:type="dxa"/>
            <w:vAlign w:val="center"/>
          </w:tcPr>
          <w:p>
            <w:pPr>
              <w:spacing w:line="0" w:lineRule="atLeast"/>
              <w:jc w:val="center"/>
              <w:rPr>
                <w:rFonts w:ascii="宋体" w:hAnsi="宋体" w:cs="宋体"/>
              </w:rPr>
            </w:pPr>
            <w:r>
              <w:rPr>
                <w:rFonts w:hint="eastAsia" w:ascii="宋体" w:hAnsi="宋体" w:cs="宋体"/>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vAlign w:val="center"/>
          </w:tcPr>
          <w:p>
            <w:pPr>
              <w:spacing w:line="0" w:lineRule="atLeast"/>
              <w:jc w:val="center"/>
              <w:rPr>
                <w:rFonts w:ascii="宋体" w:hAnsi="宋体" w:cs="宋体"/>
              </w:rPr>
            </w:pPr>
            <w:r>
              <w:rPr>
                <w:rFonts w:hint="eastAsia" w:ascii="宋体" w:hAnsi="宋体" w:cs="宋体"/>
              </w:rPr>
              <w:t>T1≤12</w:t>
            </w:r>
          </w:p>
        </w:tc>
        <w:tc>
          <w:tcPr>
            <w:tcW w:w="1382" w:type="dxa"/>
            <w:vAlign w:val="center"/>
          </w:tcPr>
          <w:p>
            <w:pPr>
              <w:spacing w:line="0" w:lineRule="atLeast"/>
              <w:jc w:val="center"/>
              <w:rPr>
                <w:rFonts w:ascii="宋体" w:hAnsi="宋体" w:cs="宋体"/>
              </w:rPr>
            </w:pPr>
            <w:r>
              <w:rPr>
                <w:rFonts w:hint="eastAsia" w:ascii="宋体" w:hAnsi="宋体" w:cs="宋体"/>
              </w:rPr>
              <w:t>Ф1.6</w:t>
            </w:r>
            <w:r>
              <w:rPr>
                <w:rFonts w:ascii="宋体" w:hAnsi="宋体" w:cs="宋体"/>
              </w:rPr>
              <w:t>/</w:t>
            </w:r>
            <w:r>
              <w:rPr>
                <w:rFonts w:hint="eastAsia" w:ascii="宋体" w:hAnsi="宋体" w:cs="宋体"/>
              </w:rPr>
              <w:t>Ф2.4</w:t>
            </w:r>
          </w:p>
        </w:tc>
        <w:tc>
          <w:tcPr>
            <w:tcW w:w="1382" w:type="dxa"/>
            <w:vAlign w:val="center"/>
          </w:tcPr>
          <w:p>
            <w:pPr>
              <w:spacing w:line="0" w:lineRule="atLeast"/>
              <w:jc w:val="center"/>
              <w:rPr>
                <w:rFonts w:ascii="宋体" w:hAnsi="宋体" w:cs="宋体"/>
              </w:rPr>
            </w:pPr>
            <w:r>
              <w:rPr>
                <w:rFonts w:ascii="宋体" w:hAnsi="宋体" w:cs="宋体"/>
              </w:rPr>
              <w:t>2</w:t>
            </w:r>
            <w:r>
              <w:rPr>
                <w:rFonts w:hint="eastAsia" w:ascii="宋体" w:hAnsi="宋体" w:cs="宋体"/>
              </w:rPr>
              <w:t>～</w:t>
            </w:r>
            <w:r>
              <w:rPr>
                <w:rFonts w:ascii="宋体" w:hAnsi="宋体" w:cs="宋体"/>
              </w:rPr>
              <w:t>3</w:t>
            </w:r>
            <w:r>
              <w:rPr>
                <w:rFonts w:hint="eastAsia" w:ascii="宋体" w:hAnsi="宋体" w:cs="宋体"/>
              </w:rPr>
              <w:t>mm</w:t>
            </w:r>
          </w:p>
        </w:tc>
        <w:tc>
          <w:tcPr>
            <w:tcW w:w="1382" w:type="dxa"/>
            <w:vAlign w:val="center"/>
          </w:tcPr>
          <w:p>
            <w:pPr>
              <w:spacing w:line="0" w:lineRule="atLeast"/>
              <w:jc w:val="center"/>
              <w:rPr>
                <w:rFonts w:ascii="宋体" w:hAnsi="宋体" w:cs="宋体"/>
              </w:rPr>
            </w:pPr>
            <w:r>
              <w:rPr>
                <w:rFonts w:hint="eastAsia" w:ascii="宋体" w:hAnsi="宋体" w:cs="宋体"/>
              </w:rPr>
              <w:t>3～4mm</w:t>
            </w:r>
          </w:p>
        </w:tc>
        <w:tc>
          <w:tcPr>
            <w:tcW w:w="1387" w:type="dxa"/>
            <w:vAlign w:val="center"/>
          </w:tcPr>
          <w:p>
            <w:pPr>
              <w:spacing w:line="0" w:lineRule="atLeast"/>
              <w:jc w:val="center"/>
              <w:rPr>
                <w:rFonts w:ascii="宋体" w:hAnsi="宋体" w:cs="宋体"/>
              </w:rPr>
            </w:pPr>
            <w:r>
              <w:rPr>
                <w:rFonts w:hint="eastAsia" w:ascii="宋体" w:hAnsi="宋体" w:cs="宋体"/>
              </w:rPr>
              <w:t>40～50°</w:t>
            </w:r>
          </w:p>
        </w:tc>
        <w:tc>
          <w:tcPr>
            <w:tcW w:w="1387" w:type="dxa"/>
            <w:vAlign w:val="center"/>
          </w:tcPr>
          <w:p>
            <w:pPr>
              <w:spacing w:line="0" w:lineRule="atLeast"/>
              <w:jc w:val="center"/>
              <w:rPr>
                <w:rFonts w:ascii="宋体" w:hAnsi="宋体" w:cs="宋体"/>
              </w:rPr>
            </w:pPr>
            <w:r>
              <w:rPr>
                <w:rFonts w:hint="eastAsia" w:ascii="宋体" w:hAnsi="宋体" w:cs="宋体"/>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vAlign w:val="center"/>
          </w:tcPr>
          <w:p>
            <w:pPr>
              <w:spacing w:line="0" w:lineRule="atLeast"/>
              <w:jc w:val="center"/>
              <w:rPr>
                <w:rFonts w:ascii="宋体" w:hAnsi="宋体" w:cs="宋体"/>
              </w:rPr>
            </w:pPr>
            <w:r>
              <w:rPr>
                <w:rFonts w:hint="eastAsia" w:ascii="宋体" w:hAnsi="宋体" w:cs="宋体"/>
              </w:rPr>
              <w:t>T1＞12</w:t>
            </w:r>
          </w:p>
        </w:tc>
        <w:tc>
          <w:tcPr>
            <w:tcW w:w="1382" w:type="dxa"/>
            <w:vAlign w:val="center"/>
          </w:tcPr>
          <w:p>
            <w:pPr>
              <w:spacing w:line="0" w:lineRule="atLeast"/>
              <w:jc w:val="center"/>
              <w:rPr>
                <w:rFonts w:ascii="宋体" w:hAnsi="宋体" w:cs="宋体"/>
              </w:rPr>
            </w:pPr>
            <w:r>
              <w:rPr>
                <w:rFonts w:hint="eastAsia" w:ascii="宋体" w:hAnsi="宋体" w:cs="宋体"/>
              </w:rPr>
              <w:t>Ф1.6</w:t>
            </w:r>
            <w:r>
              <w:rPr>
                <w:rFonts w:ascii="宋体" w:hAnsi="宋体" w:cs="宋体"/>
              </w:rPr>
              <w:t>/</w:t>
            </w:r>
            <w:r>
              <w:rPr>
                <w:rFonts w:hint="eastAsia" w:ascii="宋体" w:hAnsi="宋体" w:cs="宋体"/>
              </w:rPr>
              <w:t>Ф2.4</w:t>
            </w:r>
          </w:p>
        </w:tc>
        <w:tc>
          <w:tcPr>
            <w:tcW w:w="1382" w:type="dxa"/>
            <w:vAlign w:val="center"/>
          </w:tcPr>
          <w:p>
            <w:pPr>
              <w:spacing w:line="0" w:lineRule="atLeast"/>
              <w:jc w:val="center"/>
              <w:rPr>
                <w:rFonts w:ascii="宋体" w:hAnsi="宋体" w:cs="宋体"/>
              </w:rPr>
            </w:pPr>
            <w:r>
              <w:rPr>
                <w:rFonts w:ascii="宋体" w:hAnsi="宋体" w:cs="宋体"/>
              </w:rPr>
              <w:t>2</w:t>
            </w:r>
            <w:r>
              <w:rPr>
                <w:rFonts w:hint="eastAsia" w:ascii="宋体" w:hAnsi="宋体" w:cs="宋体"/>
              </w:rPr>
              <w:t>～</w:t>
            </w:r>
            <w:r>
              <w:rPr>
                <w:rFonts w:ascii="宋体" w:hAnsi="宋体" w:cs="宋体"/>
              </w:rPr>
              <w:t>3</w:t>
            </w:r>
            <w:r>
              <w:rPr>
                <w:rFonts w:hint="eastAsia" w:ascii="宋体" w:hAnsi="宋体" w:cs="宋体"/>
              </w:rPr>
              <w:t>mm</w:t>
            </w:r>
          </w:p>
        </w:tc>
        <w:tc>
          <w:tcPr>
            <w:tcW w:w="1382" w:type="dxa"/>
            <w:vAlign w:val="center"/>
          </w:tcPr>
          <w:p>
            <w:pPr>
              <w:spacing w:line="0" w:lineRule="atLeast"/>
              <w:jc w:val="center"/>
              <w:rPr>
                <w:rFonts w:ascii="宋体" w:hAnsi="宋体" w:cs="宋体"/>
              </w:rPr>
            </w:pPr>
            <w:r>
              <w:rPr>
                <w:rFonts w:hint="eastAsia" w:ascii="宋体" w:hAnsi="宋体" w:cs="宋体"/>
              </w:rPr>
              <w:t>3～4mm</w:t>
            </w:r>
          </w:p>
        </w:tc>
        <w:tc>
          <w:tcPr>
            <w:tcW w:w="1387" w:type="dxa"/>
            <w:vAlign w:val="center"/>
          </w:tcPr>
          <w:p>
            <w:pPr>
              <w:spacing w:line="0" w:lineRule="atLeast"/>
              <w:jc w:val="center"/>
              <w:rPr>
                <w:rFonts w:ascii="宋体" w:hAnsi="宋体" w:cs="宋体"/>
              </w:rPr>
            </w:pPr>
            <w:r>
              <w:rPr>
                <w:rFonts w:hint="eastAsia" w:ascii="宋体" w:hAnsi="宋体" w:cs="宋体"/>
              </w:rPr>
              <w:t>40～50°</w:t>
            </w:r>
          </w:p>
        </w:tc>
        <w:tc>
          <w:tcPr>
            <w:tcW w:w="1387" w:type="dxa"/>
            <w:vAlign w:val="center"/>
          </w:tcPr>
          <w:p>
            <w:pPr>
              <w:spacing w:line="0" w:lineRule="atLeast"/>
              <w:jc w:val="center"/>
              <w:rPr>
                <w:rFonts w:ascii="宋体" w:hAnsi="宋体" w:cs="宋体"/>
              </w:rPr>
            </w:pPr>
            <w:r>
              <w:rPr>
                <w:rFonts w:hint="eastAsia" w:ascii="宋体" w:hAnsi="宋体" w:cs="宋体"/>
              </w:rPr>
              <w:t>10～15°</w:t>
            </w:r>
          </w:p>
        </w:tc>
      </w:tr>
    </w:tbl>
    <w:p>
      <w:pPr>
        <w:spacing w:line="360" w:lineRule="auto"/>
        <w:jc w:val="center"/>
        <w:rPr>
          <w:rFonts w:ascii="宋体" w:hAnsi="宋体" w:cs="宋体"/>
        </w:rPr>
      </w:pPr>
    </w:p>
    <w:p>
      <w:pPr>
        <w:spacing w:line="360" w:lineRule="auto"/>
        <w:jc w:val="center"/>
        <w:rPr>
          <w:rFonts w:ascii="宋体" w:hAnsi="宋体" w:cs="宋体"/>
        </w:rPr>
      </w:pPr>
      <w:r>
        <w:rPr>
          <w:rFonts w:hint="eastAsia" w:ascii="宋体" w:hAnsi="宋体" w:cs="宋体"/>
        </w:rPr>
        <w:t>图8.5.2  推荐的罐壁环焊缝坡口尺寸</w:t>
      </w:r>
    </w:p>
    <w:p>
      <w:pPr>
        <w:spacing w:line="360" w:lineRule="auto"/>
        <w:jc w:val="center"/>
        <w:rPr>
          <w:rFonts w:ascii="黑体" w:hAnsi="黑体" w:eastAsia="黑体"/>
        </w:rPr>
      </w:pPr>
    </w:p>
    <w:p>
      <w:pPr>
        <w:spacing w:line="360" w:lineRule="auto"/>
        <w:jc w:val="center"/>
        <w:rPr>
          <w:rFonts w:ascii="宋体" w:hAnsi="宋体" w:cs="宋体"/>
        </w:rPr>
      </w:pPr>
      <w:r>
        <w:rPr>
          <w:rFonts w:hint="eastAsia" w:ascii="宋体" w:hAnsi="宋体" w:cs="宋体"/>
        </w:rPr>
        <w:t>表8.5.2  推荐的罐壁环焊缝焊接工艺参数</w:t>
      </w:r>
    </w:p>
    <w:tbl>
      <w:tblPr>
        <w:tblStyle w:val="32"/>
        <w:tblW w:w="5079" w:type="pct"/>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713"/>
        <w:gridCol w:w="899"/>
        <w:gridCol w:w="1819"/>
        <w:gridCol w:w="1573"/>
        <w:gridCol w:w="1719"/>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2" w:type="pct"/>
            <w:vAlign w:val="center"/>
          </w:tcPr>
          <w:p>
            <w:pPr>
              <w:spacing w:line="0" w:lineRule="atLeast"/>
              <w:jc w:val="center"/>
              <w:rPr>
                <w:rFonts w:ascii="宋体" w:hAnsi="宋体" w:cs="宋体"/>
              </w:rPr>
            </w:pPr>
            <w:r>
              <w:rPr>
                <w:rFonts w:hint="eastAsia" w:ascii="宋体" w:hAnsi="宋体" w:cs="宋体"/>
              </w:rPr>
              <w:t>焊接部位</w:t>
            </w:r>
          </w:p>
        </w:tc>
        <w:tc>
          <w:tcPr>
            <w:tcW w:w="380" w:type="pct"/>
            <w:vAlign w:val="center"/>
          </w:tcPr>
          <w:p>
            <w:pPr>
              <w:spacing w:line="0" w:lineRule="atLeast"/>
              <w:jc w:val="center"/>
              <w:rPr>
                <w:rFonts w:ascii="宋体" w:hAnsi="宋体" w:cs="宋体"/>
              </w:rPr>
            </w:pPr>
            <w:r>
              <w:rPr>
                <w:rFonts w:hint="eastAsia" w:ascii="宋体" w:hAnsi="宋体" w:cs="宋体"/>
              </w:rPr>
              <w:t>焊接位置</w:t>
            </w:r>
          </w:p>
        </w:tc>
        <w:tc>
          <w:tcPr>
            <w:tcW w:w="479" w:type="pct"/>
            <w:vAlign w:val="center"/>
          </w:tcPr>
          <w:p>
            <w:pPr>
              <w:spacing w:line="0" w:lineRule="atLeast"/>
              <w:jc w:val="center"/>
              <w:rPr>
                <w:rFonts w:ascii="宋体" w:hAnsi="宋体" w:cs="宋体"/>
              </w:rPr>
            </w:pPr>
            <w:r>
              <w:rPr>
                <w:rFonts w:hint="eastAsia" w:ascii="宋体" w:hAnsi="宋体" w:cs="宋体"/>
              </w:rPr>
              <w:t>焊丝直径/mm</w:t>
            </w:r>
          </w:p>
        </w:tc>
        <w:tc>
          <w:tcPr>
            <w:tcW w:w="969" w:type="pct"/>
            <w:vAlign w:val="center"/>
          </w:tcPr>
          <w:p>
            <w:pPr>
              <w:spacing w:line="0" w:lineRule="atLeast"/>
              <w:jc w:val="center"/>
              <w:rPr>
                <w:rFonts w:ascii="宋体" w:hAnsi="宋体" w:cs="宋体"/>
              </w:rPr>
            </w:pPr>
            <w:r>
              <w:rPr>
                <w:rFonts w:hint="eastAsia" w:ascii="宋体" w:hAnsi="宋体" w:cs="宋体"/>
              </w:rPr>
              <w:t>焊接电流/A</w:t>
            </w:r>
          </w:p>
        </w:tc>
        <w:tc>
          <w:tcPr>
            <w:tcW w:w="838" w:type="pct"/>
            <w:vAlign w:val="center"/>
          </w:tcPr>
          <w:p>
            <w:pPr>
              <w:spacing w:line="0" w:lineRule="atLeast"/>
              <w:jc w:val="center"/>
              <w:rPr>
                <w:rFonts w:ascii="宋体" w:hAnsi="宋体" w:cs="宋体"/>
              </w:rPr>
            </w:pPr>
            <w:r>
              <w:rPr>
                <w:rFonts w:hint="eastAsia" w:ascii="宋体" w:hAnsi="宋体" w:cs="宋体"/>
              </w:rPr>
              <w:t>焊接电压/V</w:t>
            </w:r>
          </w:p>
        </w:tc>
        <w:tc>
          <w:tcPr>
            <w:tcW w:w="915" w:type="pct"/>
            <w:vAlign w:val="center"/>
          </w:tcPr>
          <w:p>
            <w:pPr>
              <w:spacing w:line="0" w:lineRule="atLeast"/>
              <w:jc w:val="center"/>
              <w:rPr>
                <w:rFonts w:ascii="宋体" w:hAnsi="宋体" w:cs="宋体"/>
              </w:rPr>
            </w:pPr>
            <w:r>
              <w:rPr>
                <w:rFonts w:hint="eastAsia" w:ascii="宋体" w:hAnsi="宋体" w:cs="宋体"/>
              </w:rPr>
              <w:t>焊接速度/（cm/min）</w:t>
            </w:r>
          </w:p>
        </w:tc>
        <w:tc>
          <w:tcPr>
            <w:tcW w:w="807" w:type="pct"/>
            <w:vAlign w:val="center"/>
          </w:tcPr>
          <w:p>
            <w:pPr>
              <w:spacing w:line="0" w:lineRule="atLeast"/>
              <w:jc w:val="center"/>
              <w:rPr>
                <w:rFonts w:ascii="宋体" w:hAnsi="宋体" w:cs="宋体"/>
              </w:rPr>
            </w:pPr>
            <w:r>
              <w:rPr>
                <w:rFonts w:hint="eastAsia" w:ascii="宋体" w:hAnsi="宋体" w:cs="宋体"/>
              </w:rPr>
              <w:t>焊枪角度/°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2" w:type="pct"/>
            <w:vAlign w:val="center"/>
          </w:tcPr>
          <w:p>
            <w:pPr>
              <w:spacing w:line="0" w:lineRule="atLeast"/>
              <w:jc w:val="center"/>
              <w:rPr>
                <w:rFonts w:ascii="宋体" w:hAnsi="宋体" w:cs="宋体"/>
              </w:rPr>
            </w:pPr>
            <w:r>
              <w:rPr>
                <w:rFonts w:hint="eastAsia" w:ascii="宋体" w:hAnsi="宋体" w:cs="宋体"/>
              </w:rPr>
              <w:t>储罐壁板环焊缝</w:t>
            </w:r>
          </w:p>
        </w:tc>
        <w:tc>
          <w:tcPr>
            <w:tcW w:w="380" w:type="pct"/>
            <w:vAlign w:val="center"/>
          </w:tcPr>
          <w:p>
            <w:pPr>
              <w:spacing w:line="0" w:lineRule="atLeast"/>
              <w:jc w:val="center"/>
              <w:rPr>
                <w:rFonts w:ascii="宋体" w:hAnsi="宋体" w:cs="宋体"/>
              </w:rPr>
            </w:pPr>
            <w:r>
              <w:rPr>
                <w:rFonts w:hint="eastAsia" w:ascii="宋体" w:hAnsi="宋体" w:cs="宋体"/>
              </w:rPr>
              <w:t>2G</w:t>
            </w:r>
          </w:p>
        </w:tc>
        <w:tc>
          <w:tcPr>
            <w:tcW w:w="479" w:type="pct"/>
            <w:vAlign w:val="center"/>
          </w:tcPr>
          <w:p>
            <w:pPr>
              <w:spacing w:line="0" w:lineRule="atLeast"/>
              <w:jc w:val="center"/>
              <w:rPr>
                <w:rFonts w:ascii="宋体" w:hAnsi="宋体" w:cs="宋体"/>
              </w:rPr>
            </w:pPr>
            <w:r>
              <w:rPr>
                <w:rFonts w:hint="eastAsia" w:ascii="宋体" w:hAnsi="宋体" w:cs="宋体"/>
              </w:rPr>
              <w:t>Ф1.6</w:t>
            </w:r>
          </w:p>
        </w:tc>
        <w:tc>
          <w:tcPr>
            <w:tcW w:w="969" w:type="pct"/>
            <w:vAlign w:val="center"/>
          </w:tcPr>
          <w:p>
            <w:pPr>
              <w:spacing w:line="0" w:lineRule="atLeast"/>
              <w:jc w:val="center"/>
              <w:rPr>
                <w:rFonts w:ascii="宋体" w:hAnsi="宋体" w:cs="宋体"/>
              </w:rPr>
            </w:pPr>
            <w:r>
              <w:rPr>
                <w:rFonts w:hint="eastAsia" w:ascii="宋体" w:hAnsi="宋体" w:cs="宋体"/>
              </w:rPr>
              <w:t>打底：220～260</w:t>
            </w:r>
          </w:p>
          <w:p>
            <w:pPr>
              <w:spacing w:line="0" w:lineRule="atLeast"/>
              <w:jc w:val="center"/>
              <w:rPr>
                <w:rFonts w:ascii="宋体" w:hAnsi="宋体" w:cs="宋体"/>
              </w:rPr>
            </w:pPr>
            <w:r>
              <w:rPr>
                <w:rFonts w:hint="eastAsia" w:ascii="宋体" w:hAnsi="宋体" w:cs="宋体"/>
              </w:rPr>
              <w:t>填充：240～280</w:t>
            </w:r>
          </w:p>
          <w:p>
            <w:pPr>
              <w:spacing w:line="0" w:lineRule="atLeast"/>
              <w:jc w:val="center"/>
              <w:rPr>
                <w:rFonts w:ascii="宋体" w:hAnsi="宋体" w:cs="宋体"/>
              </w:rPr>
            </w:pPr>
            <w:r>
              <w:rPr>
                <w:rFonts w:hint="eastAsia" w:ascii="宋体" w:hAnsi="宋体" w:cs="宋体"/>
              </w:rPr>
              <w:t>盖面：240～280</w:t>
            </w:r>
          </w:p>
        </w:tc>
        <w:tc>
          <w:tcPr>
            <w:tcW w:w="838" w:type="pct"/>
            <w:vAlign w:val="center"/>
          </w:tcPr>
          <w:p>
            <w:pPr>
              <w:spacing w:line="0" w:lineRule="atLeast"/>
              <w:jc w:val="center"/>
              <w:rPr>
                <w:rFonts w:ascii="宋体" w:hAnsi="宋体" w:cs="宋体"/>
              </w:rPr>
            </w:pPr>
            <w:r>
              <w:rPr>
                <w:rFonts w:hint="eastAsia" w:ascii="宋体" w:hAnsi="宋体" w:cs="宋体"/>
              </w:rPr>
              <w:t>打底：24～28</w:t>
            </w:r>
          </w:p>
          <w:p>
            <w:pPr>
              <w:spacing w:line="0" w:lineRule="atLeast"/>
              <w:jc w:val="center"/>
              <w:rPr>
                <w:rFonts w:ascii="宋体" w:hAnsi="宋体" w:cs="宋体"/>
              </w:rPr>
            </w:pPr>
            <w:r>
              <w:rPr>
                <w:rFonts w:hint="eastAsia" w:ascii="宋体" w:hAnsi="宋体" w:cs="宋体"/>
              </w:rPr>
              <w:t>填充：24～28</w:t>
            </w:r>
          </w:p>
          <w:p>
            <w:pPr>
              <w:spacing w:line="0" w:lineRule="atLeast"/>
              <w:jc w:val="center"/>
              <w:rPr>
                <w:rFonts w:ascii="宋体" w:hAnsi="宋体" w:cs="宋体"/>
              </w:rPr>
            </w:pPr>
            <w:r>
              <w:rPr>
                <w:rFonts w:hint="eastAsia" w:ascii="宋体" w:hAnsi="宋体" w:cs="宋体"/>
              </w:rPr>
              <w:t>盖面：24～28</w:t>
            </w:r>
          </w:p>
        </w:tc>
        <w:tc>
          <w:tcPr>
            <w:tcW w:w="915" w:type="pct"/>
            <w:vAlign w:val="center"/>
          </w:tcPr>
          <w:p>
            <w:pPr>
              <w:spacing w:line="0" w:lineRule="atLeast"/>
              <w:jc w:val="center"/>
              <w:rPr>
                <w:rFonts w:ascii="宋体" w:hAnsi="宋体" w:cs="宋体"/>
              </w:rPr>
            </w:pPr>
            <w:r>
              <w:rPr>
                <w:rFonts w:hint="eastAsia" w:ascii="宋体" w:hAnsi="宋体" w:cs="宋体"/>
              </w:rPr>
              <w:t>打底：25～35</w:t>
            </w:r>
          </w:p>
          <w:p>
            <w:pPr>
              <w:spacing w:line="0" w:lineRule="atLeast"/>
              <w:jc w:val="center"/>
              <w:rPr>
                <w:rFonts w:ascii="宋体" w:hAnsi="宋体" w:cs="宋体"/>
              </w:rPr>
            </w:pPr>
            <w:r>
              <w:rPr>
                <w:rFonts w:hint="eastAsia" w:ascii="宋体" w:hAnsi="宋体" w:cs="宋体"/>
              </w:rPr>
              <w:t>填充：25～40</w:t>
            </w:r>
          </w:p>
          <w:p>
            <w:pPr>
              <w:spacing w:line="0" w:lineRule="atLeast"/>
              <w:jc w:val="center"/>
              <w:rPr>
                <w:rFonts w:ascii="宋体" w:hAnsi="宋体" w:cs="宋体"/>
              </w:rPr>
            </w:pPr>
            <w:r>
              <w:rPr>
                <w:rFonts w:hint="eastAsia" w:ascii="宋体" w:hAnsi="宋体" w:cs="宋体"/>
              </w:rPr>
              <w:t>盖面：30～45</w:t>
            </w:r>
          </w:p>
        </w:tc>
        <w:tc>
          <w:tcPr>
            <w:tcW w:w="807" w:type="pct"/>
            <w:vAlign w:val="center"/>
          </w:tcPr>
          <w:p>
            <w:pPr>
              <w:spacing w:line="0" w:lineRule="atLeast"/>
              <w:jc w:val="center"/>
              <w:rPr>
                <w:rFonts w:ascii="宋体" w:hAnsi="宋体" w:cs="宋体"/>
              </w:rPr>
            </w:pPr>
            <w:r>
              <w:rPr>
                <w:rFonts w:hint="eastAsia" w:ascii="宋体" w:hAnsi="宋体" w:cs="宋体"/>
              </w:rPr>
              <w:t>打底：12～18</w:t>
            </w:r>
          </w:p>
          <w:p>
            <w:pPr>
              <w:spacing w:line="0" w:lineRule="atLeast"/>
              <w:jc w:val="center"/>
              <w:rPr>
                <w:rFonts w:ascii="宋体" w:hAnsi="宋体" w:cs="宋体"/>
              </w:rPr>
            </w:pPr>
            <w:r>
              <w:rPr>
                <w:rFonts w:hint="eastAsia" w:ascii="宋体" w:hAnsi="宋体" w:cs="宋体"/>
              </w:rPr>
              <w:t>填充：12～18</w:t>
            </w:r>
          </w:p>
          <w:p>
            <w:pPr>
              <w:spacing w:line="0" w:lineRule="atLeast"/>
              <w:jc w:val="center"/>
              <w:rPr>
                <w:rFonts w:ascii="宋体" w:hAnsi="宋体" w:cs="宋体"/>
              </w:rPr>
            </w:pPr>
            <w:r>
              <w:rPr>
                <w:rFonts w:hint="eastAsia" w:ascii="宋体" w:hAnsi="宋体" w:cs="宋体"/>
              </w:rPr>
              <w:t>盖面：12～18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pct"/>
            <w:vAlign w:val="center"/>
          </w:tcPr>
          <w:p>
            <w:pPr>
              <w:spacing w:line="0" w:lineRule="atLeast"/>
              <w:jc w:val="center"/>
              <w:rPr>
                <w:rFonts w:ascii="宋体" w:hAnsi="宋体" w:cs="宋体"/>
              </w:rPr>
            </w:pPr>
            <w:r>
              <w:rPr>
                <w:rFonts w:hint="eastAsia" w:ascii="宋体" w:hAnsi="宋体" w:cs="宋体"/>
              </w:rPr>
              <w:t>储罐壁板环焊缝</w:t>
            </w:r>
          </w:p>
        </w:tc>
        <w:tc>
          <w:tcPr>
            <w:tcW w:w="380" w:type="pct"/>
            <w:vAlign w:val="center"/>
          </w:tcPr>
          <w:p>
            <w:pPr>
              <w:spacing w:line="0" w:lineRule="atLeast"/>
              <w:jc w:val="center"/>
              <w:rPr>
                <w:rFonts w:ascii="宋体" w:hAnsi="宋体" w:cs="宋体"/>
              </w:rPr>
            </w:pPr>
            <w:r>
              <w:rPr>
                <w:rFonts w:hint="eastAsia" w:ascii="宋体" w:hAnsi="宋体" w:cs="宋体"/>
              </w:rPr>
              <w:t>2G</w:t>
            </w:r>
          </w:p>
        </w:tc>
        <w:tc>
          <w:tcPr>
            <w:tcW w:w="479" w:type="pct"/>
            <w:vAlign w:val="center"/>
          </w:tcPr>
          <w:p>
            <w:pPr>
              <w:spacing w:line="0" w:lineRule="atLeast"/>
              <w:jc w:val="center"/>
              <w:rPr>
                <w:rFonts w:ascii="宋体" w:hAnsi="宋体" w:cs="宋体"/>
              </w:rPr>
            </w:pPr>
            <w:r>
              <w:rPr>
                <w:rFonts w:hint="eastAsia" w:ascii="宋体" w:hAnsi="宋体" w:cs="宋体"/>
              </w:rPr>
              <w:t>Ф2.4</w:t>
            </w:r>
          </w:p>
        </w:tc>
        <w:tc>
          <w:tcPr>
            <w:tcW w:w="969" w:type="pct"/>
            <w:vAlign w:val="center"/>
          </w:tcPr>
          <w:p>
            <w:pPr>
              <w:spacing w:line="0" w:lineRule="atLeast"/>
              <w:jc w:val="center"/>
              <w:rPr>
                <w:rFonts w:ascii="宋体" w:hAnsi="宋体" w:cs="宋体"/>
              </w:rPr>
            </w:pPr>
            <w:r>
              <w:rPr>
                <w:rFonts w:hint="eastAsia" w:ascii="宋体" w:hAnsi="宋体" w:cs="宋体"/>
              </w:rPr>
              <w:t>打底：260～300</w:t>
            </w:r>
          </w:p>
          <w:p>
            <w:pPr>
              <w:spacing w:line="0" w:lineRule="atLeast"/>
              <w:jc w:val="center"/>
              <w:rPr>
                <w:rFonts w:ascii="宋体" w:hAnsi="宋体" w:cs="宋体"/>
              </w:rPr>
            </w:pPr>
            <w:r>
              <w:rPr>
                <w:rFonts w:hint="eastAsia" w:ascii="宋体" w:hAnsi="宋体" w:cs="宋体"/>
              </w:rPr>
              <w:t>填充：280～320</w:t>
            </w:r>
          </w:p>
          <w:p>
            <w:pPr>
              <w:spacing w:line="0" w:lineRule="atLeast"/>
              <w:jc w:val="center"/>
              <w:rPr>
                <w:rFonts w:ascii="宋体" w:hAnsi="宋体" w:cs="宋体"/>
              </w:rPr>
            </w:pPr>
            <w:r>
              <w:rPr>
                <w:rFonts w:hint="eastAsia" w:ascii="宋体" w:hAnsi="宋体" w:cs="宋体"/>
              </w:rPr>
              <w:t>盖面：280～320</w:t>
            </w:r>
          </w:p>
        </w:tc>
        <w:tc>
          <w:tcPr>
            <w:tcW w:w="838" w:type="pct"/>
            <w:vAlign w:val="center"/>
          </w:tcPr>
          <w:p>
            <w:pPr>
              <w:spacing w:line="0" w:lineRule="atLeast"/>
              <w:jc w:val="center"/>
              <w:rPr>
                <w:rFonts w:ascii="宋体" w:hAnsi="宋体" w:cs="宋体"/>
              </w:rPr>
            </w:pPr>
            <w:r>
              <w:rPr>
                <w:rFonts w:hint="eastAsia" w:ascii="宋体" w:hAnsi="宋体" w:cs="宋体"/>
              </w:rPr>
              <w:t>打底：26～32</w:t>
            </w:r>
          </w:p>
          <w:p>
            <w:pPr>
              <w:spacing w:line="0" w:lineRule="atLeast"/>
              <w:jc w:val="center"/>
              <w:rPr>
                <w:rFonts w:ascii="宋体" w:hAnsi="宋体" w:cs="宋体"/>
              </w:rPr>
            </w:pPr>
            <w:r>
              <w:rPr>
                <w:rFonts w:hint="eastAsia" w:ascii="宋体" w:hAnsi="宋体" w:cs="宋体"/>
              </w:rPr>
              <w:t>填充：26～32</w:t>
            </w:r>
          </w:p>
          <w:p>
            <w:pPr>
              <w:spacing w:line="0" w:lineRule="atLeast"/>
              <w:jc w:val="center"/>
              <w:rPr>
                <w:rFonts w:ascii="宋体" w:hAnsi="宋体" w:cs="宋体"/>
              </w:rPr>
            </w:pPr>
            <w:r>
              <w:rPr>
                <w:rFonts w:hint="eastAsia" w:ascii="宋体" w:hAnsi="宋体" w:cs="宋体"/>
              </w:rPr>
              <w:t>盖面：26～32</w:t>
            </w:r>
          </w:p>
        </w:tc>
        <w:tc>
          <w:tcPr>
            <w:tcW w:w="915" w:type="pct"/>
            <w:vAlign w:val="center"/>
          </w:tcPr>
          <w:p>
            <w:pPr>
              <w:spacing w:line="0" w:lineRule="atLeast"/>
              <w:jc w:val="center"/>
              <w:rPr>
                <w:rFonts w:ascii="宋体" w:hAnsi="宋体" w:cs="宋体"/>
              </w:rPr>
            </w:pPr>
            <w:r>
              <w:rPr>
                <w:rFonts w:hint="eastAsia" w:ascii="宋体" w:hAnsi="宋体" w:cs="宋体"/>
              </w:rPr>
              <w:t>打底：35～45</w:t>
            </w:r>
          </w:p>
          <w:p>
            <w:pPr>
              <w:spacing w:line="0" w:lineRule="atLeast"/>
              <w:jc w:val="center"/>
              <w:rPr>
                <w:rFonts w:ascii="宋体" w:hAnsi="宋体" w:cs="宋体"/>
              </w:rPr>
            </w:pPr>
            <w:r>
              <w:rPr>
                <w:rFonts w:hint="eastAsia" w:ascii="宋体" w:hAnsi="宋体" w:cs="宋体"/>
              </w:rPr>
              <w:t>填充：30～40</w:t>
            </w:r>
          </w:p>
          <w:p>
            <w:pPr>
              <w:spacing w:line="0" w:lineRule="atLeast"/>
              <w:jc w:val="center"/>
              <w:rPr>
                <w:rFonts w:ascii="宋体" w:hAnsi="宋体" w:cs="宋体"/>
              </w:rPr>
            </w:pPr>
            <w:r>
              <w:rPr>
                <w:rFonts w:hint="eastAsia" w:ascii="宋体" w:hAnsi="宋体" w:cs="宋体"/>
              </w:rPr>
              <w:t>盖面：35～45</w:t>
            </w:r>
          </w:p>
        </w:tc>
        <w:tc>
          <w:tcPr>
            <w:tcW w:w="807" w:type="pct"/>
            <w:vAlign w:val="center"/>
          </w:tcPr>
          <w:p>
            <w:pPr>
              <w:spacing w:line="0" w:lineRule="atLeast"/>
              <w:jc w:val="center"/>
              <w:rPr>
                <w:rFonts w:ascii="宋体" w:hAnsi="宋体" w:cs="宋体"/>
              </w:rPr>
            </w:pPr>
            <w:r>
              <w:rPr>
                <w:rFonts w:hint="eastAsia" w:ascii="宋体" w:hAnsi="宋体" w:cs="宋体"/>
              </w:rPr>
              <w:t>打底：12～18</w:t>
            </w:r>
          </w:p>
          <w:p>
            <w:pPr>
              <w:spacing w:line="0" w:lineRule="atLeast"/>
              <w:jc w:val="center"/>
              <w:rPr>
                <w:rFonts w:ascii="宋体" w:hAnsi="宋体" w:cs="宋体"/>
              </w:rPr>
            </w:pPr>
            <w:r>
              <w:rPr>
                <w:rFonts w:hint="eastAsia" w:ascii="宋体" w:hAnsi="宋体" w:cs="宋体"/>
              </w:rPr>
              <w:t>填充：12～18</w:t>
            </w:r>
          </w:p>
          <w:p>
            <w:pPr>
              <w:spacing w:line="0" w:lineRule="atLeast"/>
              <w:jc w:val="center"/>
              <w:rPr>
                <w:rFonts w:ascii="宋体" w:hAnsi="宋体" w:cs="宋体"/>
              </w:rPr>
            </w:pPr>
            <w:r>
              <w:rPr>
                <w:rFonts w:hint="eastAsia" w:ascii="宋体" w:hAnsi="宋体" w:cs="宋体"/>
              </w:rPr>
              <w:t>盖面：12～18</w:t>
            </w:r>
          </w:p>
        </w:tc>
      </w:tr>
    </w:tbl>
    <w:p>
      <w:pPr>
        <w:spacing w:line="360" w:lineRule="auto"/>
        <w:rPr>
          <w:rFonts w:asciiTheme="minorEastAsia" w:hAnsiTheme="minorEastAsia"/>
        </w:rPr>
      </w:pPr>
    </w:p>
    <w:p>
      <w:pPr>
        <w:spacing w:line="360" w:lineRule="auto"/>
        <w:rPr>
          <w:rFonts w:asciiTheme="minorEastAsia" w:hAnsiTheme="minorEastAsia"/>
        </w:rPr>
      </w:pPr>
      <w:r>
        <w:rPr>
          <w:rFonts w:hint="eastAsia" w:asciiTheme="minorEastAsia" w:hAnsiTheme="minorEastAsia"/>
        </w:rPr>
        <w:t>8.5.7 第一带壁板纵焊缝全部焊接完成后，方可进行第二带壁板的安装及焊接；第二带及以上壁板组对与焊接可同时进行；同一带壁板完成焊接4</w:t>
      </w:r>
      <w:r>
        <w:rPr>
          <w:rFonts w:hint="eastAsia" w:ascii="宋体" w:hAnsi="宋体" w:cs="宋体"/>
        </w:rPr>
        <w:t>～</w:t>
      </w:r>
      <w:r>
        <w:rPr>
          <w:rFonts w:hint="eastAsia" w:asciiTheme="minorEastAsia" w:hAnsiTheme="minorEastAsia"/>
        </w:rPr>
        <w:t>5道纵焊缝后，方可开始壁板环焊缝的组对焊接；同一带壁板不少于3张壁板的环焊缝焊接完成后，方可开始下一带壁板的安装。</w:t>
      </w:r>
    </w:p>
    <w:p>
      <w:pPr>
        <w:spacing w:line="360" w:lineRule="auto"/>
        <w:rPr>
          <w:rFonts w:asciiTheme="minorEastAsia" w:hAnsiTheme="minorEastAsia"/>
        </w:rPr>
      </w:pPr>
      <w:r>
        <w:rPr>
          <w:rFonts w:hint="eastAsia" w:asciiTheme="minorEastAsia" w:hAnsiTheme="minorEastAsia"/>
        </w:rPr>
        <w:t>8.5.8 壁板纵焊缝与环焊缝交界处，应在两侧进行封底焊，且焊接长度不应少于100mm。</w:t>
      </w:r>
    </w:p>
    <w:p>
      <w:pPr>
        <w:spacing w:line="360" w:lineRule="auto"/>
        <w:rPr>
          <w:rFonts w:asciiTheme="minorEastAsia" w:hAnsiTheme="minorEastAsia"/>
        </w:rPr>
      </w:pPr>
      <w:r>
        <w:rPr>
          <w:rFonts w:hint="eastAsia" w:asciiTheme="minorEastAsia" w:hAnsiTheme="minorEastAsia"/>
        </w:rPr>
        <w:t>8.5.9 壁板环缝组对，应在壁板纵缝焊接完成后进行，定位焊长度宜为50</w:t>
      </w:r>
      <w:r>
        <w:rPr>
          <w:rFonts w:hint="eastAsia" w:ascii="宋体" w:hAnsi="宋体" w:cs="宋体"/>
        </w:rPr>
        <w:t>～</w:t>
      </w:r>
      <w:r>
        <w:rPr>
          <w:rFonts w:hint="eastAsia" w:asciiTheme="minorEastAsia" w:hAnsiTheme="minorEastAsia"/>
        </w:rPr>
        <w:t>100mm，两定位焊之间间距宜为100</w:t>
      </w:r>
      <w:r>
        <w:rPr>
          <w:rFonts w:hint="eastAsia" w:ascii="宋体" w:hAnsi="宋体" w:cs="宋体"/>
        </w:rPr>
        <w:t>～</w:t>
      </w:r>
      <w:r>
        <w:rPr>
          <w:rFonts w:hint="eastAsia" w:asciiTheme="minorEastAsia" w:hAnsiTheme="minorEastAsia"/>
        </w:rPr>
        <w:t>150mm。</w:t>
      </w:r>
    </w:p>
    <w:p>
      <w:pPr>
        <w:spacing w:line="360" w:lineRule="auto"/>
        <w:rPr>
          <w:rFonts w:asciiTheme="minorEastAsia" w:hAnsiTheme="minorEastAsia"/>
        </w:rPr>
      </w:pPr>
      <w:r>
        <w:rPr>
          <w:rFonts w:hint="eastAsia" w:asciiTheme="minorEastAsia" w:hAnsiTheme="minorEastAsia"/>
        </w:rPr>
        <w:t>8.5.10 壁板环焊缝定位及反变形工装，应垂直环焊缝设置，且两相邻工装的间距不应大于1.5m。</w:t>
      </w:r>
    </w:p>
    <w:p>
      <w:pPr>
        <w:spacing w:line="360" w:lineRule="auto"/>
        <w:rPr>
          <w:rFonts w:asciiTheme="minorEastAsia" w:hAnsiTheme="minorEastAsia"/>
        </w:rPr>
      </w:pPr>
      <w:r>
        <w:rPr>
          <w:rFonts w:hint="eastAsia" w:asciiTheme="minorEastAsia" w:hAnsiTheme="minorEastAsia"/>
        </w:rPr>
        <w:t>8.5.11 壁板环焊缝上下壁板错边量不宜大于0.5mm，同时在两层壁板之间放入间隙垫板以保证合适的间隙，间隙垫板宜选用2</w:t>
      </w:r>
      <w:r>
        <w:rPr>
          <w:rFonts w:asciiTheme="minorEastAsia" w:hAnsiTheme="minorEastAsia"/>
        </w:rPr>
        <w:t>-4</w:t>
      </w:r>
      <w:r>
        <w:rPr>
          <w:rFonts w:hint="eastAsia" w:asciiTheme="minorEastAsia" w:hAnsiTheme="minorEastAsia"/>
        </w:rPr>
        <w:t>mm的不锈钢板。</w:t>
      </w:r>
    </w:p>
    <w:p>
      <w:pPr>
        <w:spacing w:line="360" w:lineRule="auto"/>
        <w:rPr>
          <w:rFonts w:asciiTheme="minorEastAsia" w:hAnsiTheme="minorEastAsia"/>
        </w:rPr>
      </w:pPr>
      <w:r>
        <w:rPr>
          <w:rFonts w:hint="eastAsia" w:asciiTheme="minorEastAsia" w:hAnsiTheme="minorEastAsia"/>
        </w:rPr>
        <w:t>8.5.12 壁板环形焊缝外侧填充完成后，方可根据焊接变形情况，判断是否拆除反变形。</w:t>
      </w:r>
    </w:p>
    <w:p>
      <w:pPr>
        <w:spacing w:line="360" w:lineRule="auto"/>
        <w:jc w:val="left"/>
        <w:rPr>
          <w:rFonts w:asciiTheme="minorEastAsia" w:hAnsiTheme="minorEastAsia"/>
        </w:rPr>
      </w:pPr>
      <w:r>
        <w:rPr>
          <w:rFonts w:hint="eastAsia" w:asciiTheme="minorEastAsia" w:hAnsiTheme="minorEastAsia"/>
        </w:rPr>
        <w:t>8.5.13 焊接时焊枪角度宜为15</w:t>
      </w:r>
      <w:r>
        <w:rPr>
          <w:rFonts w:hint="eastAsia" w:ascii="宋体" w:hAnsi="宋体" w:cs="宋体"/>
        </w:rPr>
        <w:t>～</w:t>
      </w:r>
      <w:r>
        <w:rPr>
          <w:rFonts w:hint="eastAsia" w:asciiTheme="minorEastAsia" w:hAnsiTheme="minorEastAsia"/>
        </w:rPr>
        <w:t>20°,焊丝干伸长度宜为20</w:t>
      </w:r>
      <w:r>
        <w:rPr>
          <w:rFonts w:hint="eastAsia" w:ascii="宋体" w:hAnsi="宋体" w:cs="宋体"/>
        </w:rPr>
        <w:t>～</w:t>
      </w:r>
      <w:r>
        <w:rPr>
          <w:rFonts w:hint="eastAsia" w:asciiTheme="minorEastAsia" w:hAnsiTheme="minorEastAsia"/>
        </w:rPr>
        <w:t>25mm，焊剂堆高宜为30</w:t>
      </w:r>
      <w:r>
        <w:rPr>
          <w:rFonts w:hint="eastAsia" w:ascii="宋体" w:hAnsi="宋体" w:cs="宋体"/>
        </w:rPr>
        <w:t>～40mm，</w:t>
      </w:r>
      <w:r>
        <w:rPr>
          <w:rFonts w:hint="eastAsia" w:asciiTheme="minorEastAsia" w:hAnsiTheme="minorEastAsia"/>
        </w:rPr>
        <w:t>其余焊接工艺参数应符合焊接工艺规程的要求。</w:t>
      </w:r>
    </w:p>
    <w:p>
      <w:pPr>
        <w:spacing w:line="360" w:lineRule="auto"/>
        <w:jc w:val="left"/>
        <w:rPr>
          <w:rFonts w:asciiTheme="minorEastAsia" w:hAnsiTheme="minorEastAsia"/>
        </w:rPr>
      </w:pPr>
      <w:r>
        <w:rPr>
          <w:rFonts w:hint="eastAsia" w:asciiTheme="minorEastAsia" w:hAnsiTheme="minorEastAsia"/>
        </w:rPr>
        <w:t>8.5.14 焊接最上侧焊道时，可适当减小焊枪角度，以保证焊接成型效果。</w:t>
      </w:r>
    </w:p>
    <w:p>
      <w:pPr>
        <w:spacing w:line="360" w:lineRule="auto"/>
        <w:rPr>
          <w:rFonts w:asciiTheme="minorEastAsia" w:hAnsiTheme="minorEastAsia"/>
        </w:rPr>
      </w:pPr>
      <w:r>
        <w:rPr>
          <w:rFonts w:hint="eastAsia" w:asciiTheme="minorEastAsia" w:hAnsiTheme="minorEastAsia"/>
        </w:rPr>
        <w:t>8.5.15 壁板环焊缝背面清根可采用等离子清根设备或不锈钢砂轮机，当采用等离子清根初步清理完成后，应使用不锈钢砂轮片将硬化层清理干净，并修磨至合适的宽度、深度，背面清根完成的焊缝宜为U型，不应为V型。</w:t>
      </w:r>
    </w:p>
    <w:p>
      <w:pPr>
        <w:pStyle w:val="3"/>
        <w:spacing w:line="360" w:lineRule="auto"/>
        <w:rPr>
          <w:rFonts w:ascii="Times New Roman" w:hAnsi="Times New Roman" w:cs="Times New Roman"/>
        </w:rPr>
      </w:pPr>
      <w:bookmarkStart w:id="36" w:name="_Toc159410679"/>
      <w:r>
        <w:rPr>
          <w:rFonts w:hint="eastAsia" w:ascii="Times New Roman" w:hAnsi="Times New Roman" w:cs="Times New Roman"/>
        </w:rPr>
        <w:t>8.6  底板边缘板对接焊缝</w:t>
      </w:r>
      <w:bookmarkEnd w:id="36"/>
    </w:p>
    <w:p>
      <w:pPr>
        <w:pStyle w:val="4"/>
        <w:spacing w:line="360" w:lineRule="auto"/>
        <w:ind w:firstLine="0" w:firstLineChars="0"/>
      </w:pPr>
      <w:r>
        <w:rPr>
          <w:rFonts w:hint="eastAsia"/>
        </w:rPr>
        <w:t>8.6.1 底板边缘板对接焊缝宜采用手工焊条电弧焊打底，埋弧焊填充盖面的焊接工艺。</w:t>
      </w:r>
    </w:p>
    <w:p>
      <w:pPr>
        <w:pStyle w:val="4"/>
        <w:spacing w:line="360" w:lineRule="auto"/>
        <w:ind w:firstLine="0" w:firstLineChars="0"/>
      </w:pPr>
      <w:r>
        <w:rPr>
          <w:rFonts w:hint="eastAsia"/>
        </w:rPr>
        <w:t>8.6.2 底板边缘板对接焊缝推荐的坡口尺寸见图8.6.2，推荐的埋弧焊接工艺参数见表8.6.2。</w:t>
      </w:r>
    </w:p>
    <w:p>
      <w:pPr>
        <w:spacing w:line="360" w:lineRule="auto"/>
        <w:jc w:val="center"/>
        <w:rPr>
          <w:rFonts w:asciiTheme="minorEastAsia" w:hAnsiTheme="minorEastAsia"/>
        </w:rPr>
      </w:pPr>
      <w:r>
        <w:rPr>
          <w:rFonts w:hint="eastAsia" w:asciiTheme="minorEastAsia" w:hAnsiTheme="minorEastAsia"/>
        </w:rPr>
        <w:object>
          <v:shape id="_x0000_i1027" o:spt="75" type="#_x0000_t75" style="height:186pt;width:273.75pt;" o:ole="t" filled="f" o:preferrelative="t" stroked="f" coordsize="21600,21600">
            <v:path/>
            <v:fill on="f" focussize="0,0"/>
            <v:stroke on="f" joinstyle="miter"/>
            <v:imagedata r:id="rId8" cropleft="26111f" croptop="20567f" cropright="35276f" cropbottom="33409f" o:title=""/>
            <o:lock v:ext="edit" aspectratio="t"/>
            <w10:wrap type="none"/>
            <w10:anchorlock/>
          </v:shape>
          <o:OLEObject Type="Embed" ProgID="AutoCAD.Drawing.24" ShapeID="_x0000_i1027" DrawAspect="Content" ObjectID="_1468075727" r:id="rId10">
            <o:LockedField>false</o:LockedField>
          </o:OLEObject>
        </w:objec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2312"/>
        <w:gridCol w:w="1422"/>
        <w:gridCol w:w="1422"/>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0" w:type="pct"/>
            <w:vAlign w:val="center"/>
          </w:tcPr>
          <w:p>
            <w:pPr>
              <w:spacing w:line="0" w:lineRule="atLeast"/>
              <w:jc w:val="center"/>
              <w:rPr>
                <w:rFonts w:ascii="宋体" w:hAnsi="宋体" w:cs="宋体"/>
              </w:rPr>
            </w:pPr>
            <w:r>
              <w:rPr>
                <w:rFonts w:hint="eastAsia" w:ascii="宋体" w:hAnsi="宋体" w:cs="宋体"/>
              </w:rPr>
              <w:t>焊接材料</w:t>
            </w:r>
          </w:p>
        </w:tc>
        <w:tc>
          <w:tcPr>
            <w:tcW w:w="1250" w:type="pct"/>
            <w:vAlign w:val="center"/>
          </w:tcPr>
          <w:p>
            <w:pPr>
              <w:spacing w:line="0" w:lineRule="atLeast"/>
              <w:jc w:val="center"/>
              <w:rPr>
                <w:rFonts w:ascii="宋体" w:hAnsi="宋体" w:cs="宋体"/>
              </w:rPr>
            </w:pPr>
            <w:r>
              <w:rPr>
                <w:rFonts w:hint="eastAsia" w:ascii="宋体" w:hAnsi="宋体" w:cs="宋体"/>
              </w:rPr>
              <w:t>直径/mm</w:t>
            </w:r>
          </w:p>
        </w:tc>
        <w:tc>
          <w:tcPr>
            <w:tcW w:w="769" w:type="pct"/>
            <w:vAlign w:val="center"/>
          </w:tcPr>
          <w:p>
            <w:pPr>
              <w:spacing w:line="0" w:lineRule="atLeast"/>
              <w:jc w:val="center"/>
              <w:rPr>
                <w:rFonts w:ascii="宋体" w:hAnsi="宋体" w:cs="宋体"/>
              </w:rPr>
            </w:pPr>
            <w:r>
              <w:rPr>
                <w:rFonts w:hint="eastAsia" w:ascii="宋体" w:hAnsi="宋体" w:cs="宋体"/>
              </w:rPr>
              <w:t>p</w:t>
            </w:r>
          </w:p>
        </w:tc>
        <w:tc>
          <w:tcPr>
            <w:tcW w:w="769" w:type="pct"/>
            <w:vAlign w:val="center"/>
          </w:tcPr>
          <w:p>
            <w:pPr>
              <w:spacing w:line="0" w:lineRule="atLeast"/>
              <w:jc w:val="center"/>
              <w:rPr>
                <w:rFonts w:ascii="宋体" w:hAnsi="宋体" w:cs="宋体"/>
              </w:rPr>
            </w:pPr>
            <w:r>
              <w:rPr>
                <w:rFonts w:hint="eastAsia" w:ascii="宋体" w:hAnsi="宋体" w:cs="宋体"/>
              </w:rPr>
              <w:t>b</w:t>
            </w:r>
          </w:p>
        </w:tc>
        <w:tc>
          <w:tcPr>
            <w:tcW w:w="959" w:type="pct"/>
            <w:vAlign w:val="center"/>
          </w:tcPr>
          <w:p>
            <w:pPr>
              <w:spacing w:line="0" w:lineRule="atLeast"/>
              <w:jc w:val="center"/>
              <w:rPr>
                <w:rFonts w:ascii="宋体" w:hAnsi="宋体" w:cs="宋体"/>
              </w:rPr>
            </w:pPr>
            <w:r>
              <w:rPr>
                <w:rFonts w:hint="eastAsia" w:ascii="宋体" w:hAnsi="宋体" w:cs="宋体"/>
              </w:rPr>
              <w:t>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50" w:type="pct"/>
            <w:vAlign w:val="center"/>
          </w:tcPr>
          <w:p>
            <w:pPr>
              <w:spacing w:line="0" w:lineRule="atLeast"/>
              <w:jc w:val="center"/>
              <w:rPr>
                <w:rFonts w:ascii="宋体" w:hAnsi="宋体" w:cs="宋体"/>
              </w:rPr>
            </w:pPr>
            <w:r>
              <w:rPr>
                <w:rFonts w:hint="eastAsia" w:ascii="宋体" w:hAnsi="宋体" w:cs="宋体"/>
              </w:rPr>
              <w:t>焊</w:t>
            </w:r>
            <w:r>
              <w:rPr>
                <w:rFonts w:ascii="宋体" w:hAnsi="宋体" w:cs="宋体"/>
              </w:rPr>
              <w:t>条</w:t>
            </w:r>
          </w:p>
        </w:tc>
        <w:tc>
          <w:tcPr>
            <w:tcW w:w="1250" w:type="pct"/>
            <w:vAlign w:val="center"/>
          </w:tcPr>
          <w:p>
            <w:pPr>
              <w:spacing w:line="0" w:lineRule="atLeast"/>
              <w:jc w:val="center"/>
              <w:rPr>
                <w:rFonts w:ascii="宋体" w:hAnsi="宋体" w:cs="宋体"/>
              </w:rPr>
            </w:pPr>
            <w:r>
              <w:rPr>
                <w:rFonts w:hint="eastAsia" w:ascii="宋体" w:hAnsi="宋体" w:cs="宋体"/>
              </w:rPr>
              <w:t>Ф</w:t>
            </w:r>
            <w:r>
              <w:rPr>
                <w:rFonts w:ascii="宋体" w:hAnsi="宋体" w:cs="宋体"/>
              </w:rPr>
              <w:t>3</w:t>
            </w:r>
            <w:r>
              <w:rPr>
                <w:rFonts w:hint="eastAsia" w:ascii="宋体" w:hAnsi="宋体" w:cs="宋体"/>
              </w:rPr>
              <w:t>.2</w:t>
            </w:r>
          </w:p>
        </w:tc>
        <w:tc>
          <w:tcPr>
            <w:tcW w:w="769" w:type="pct"/>
            <w:vAlign w:val="center"/>
          </w:tcPr>
          <w:p>
            <w:pPr>
              <w:spacing w:line="0" w:lineRule="atLeast"/>
              <w:jc w:val="center"/>
              <w:rPr>
                <w:rFonts w:ascii="宋体" w:hAnsi="宋体" w:cs="宋体"/>
              </w:rPr>
            </w:pPr>
            <w:r>
              <w:rPr>
                <w:rFonts w:hint="eastAsia" w:ascii="宋体" w:hAnsi="宋体" w:cs="宋体"/>
              </w:rPr>
              <w:t>1～</w:t>
            </w:r>
            <w:r>
              <w:rPr>
                <w:rFonts w:ascii="宋体" w:hAnsi="宋体" w:cs="宋体"/>
              </w:rPr>
              <w:t>2</w:t>
            </w:r>
            <w:r>
              <w:rPr>
                <w:rFonts w:hint="eastAsia" w:ascii="宋体" w:hAnsi="宋体" w:cs="宋体"/>
              </w:rPr>
              <w:t>mm</w:t>
            </w:r>
          </w:p>
        </w:tc>
        <w:tc>
          <w:tcPr>
            <w:tcW w:w="769" w:type="pct"/>
            <w:vAlign w:val="center"/>
          </w:tcPr>
          <w:p>
            <w:pPr>
              <w:spacing w:line="0" w:lineRule="atLeast"/>
              <w:jc w:val="center"/>
              <w:rPr>
                <w:rFonts w:ascii="宋体" w:hAnsi="宋体" w:cs="宋体"/>
              </w:rPr>
            </w:pPr>
            <w:r>
              <w:rPr>
                <w:rFonts w:ascii="宋体" w:hAnsi="宋体" w:cs="宋体"/>
              </w:rPr>
              <w:t>2</w:t>
            </w:r>
            <w:r>
              <w:rPr>
                <w:rFonts w:hint="eastAsia" w:ascii="宋体" w:hAnsi="宋体" w:cs="宋体"/>
              </w:rPr>
              <w:t>～4mm</w:t>
            </w:r>
          </w:p>
        </w:tc>
        <w:tc>
          <w:tcPr>
            <w:tcW w:w="959" w:type="pct"/>
            <w:vAlign w:val="center"/>
          </w:tcPr>
          <w:p>
            <w:pPr>
              <w:spacing w:line="0" w:lineRule="atLeast"/>
              <w:jc w:val="center"/>
              <w:rPr>
                <w:rFonts w:ascii="宋体" w:hAnsi="宋体" w:cs="宋体"/>
              </w:rPr>
            </w:pPr>
            <w:r>
              <w:rPr>
                <w:rFonts w:hint="eastAsia" w:ascii="宋体" w:hAnsi="宋体" w:cs="宋体"/>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Align w:val="center"/>
          </w:tcPr>
          <w:p>
            <w:pPr>
              <w:spacing w:line="0" w:lineRule="atLeast"/>
              <w:jc w:val="center"/>
              <w:rPr>
                <w:rFonts w:ascii="宋体" w:hAnsi="宋体" w:cs="宋体"/>
              </w:rPr>
            </w:pPr>
            <w:r>
              <w:rPr>
                <w:rFonts w:hint="eastAsia" w:ascii="宋体" w:hAnsi="宋体" w:cs="宋体"/>
              </w:rPr>
              <w:t>焊</w:t>
            </w:r>
            <w:r>
              <w:rPr>
                <w:rFonts w:ascii="宋体" w:hAnsi="宋体" w:cs="宋体"/>
              </w:rPr>
              <w:t>丝</w:t>
            </w:r>
          </w:p>
        </w:tc>
        <w:tc>
          <w:tcPr>
            <w:tcW w:w="1250" w:type="pct"/>
            <w:vAlign w:val="center"/>
          </w:tcPr>
          <w:p>
            <w:pPr>
              <w:spacing w:line="0" w:lineRule="atLeast"/>
              <w:jc w:val="center"/>
              <w:rPr>
                <w:rFonts w:ascii="宋体" w:hAnsi="宋体" w:cs="宋体"/>
              </w:rPr>
            </w:pPr>
            <w:r>
              <w:rPr>
                <w:rFonts w:hint="eastAsia" w:ascii="宋体" w:hAnsi="宋体" w:cs="宋体"/>
              </w:rPr>
              <w:t>Ф1.6</w:t>
            </w:r>
          </w:p>
        </w:tc>
        <w:tc>
          <w:tcPr>
            <w:tcW w:w="769" w:type="pct"/>
            <w:vAlign w:val="center"/>
          </w:tcPr>
          <w:p>
            <w:pPr>
              <w:spacing w:line="0" w:lineRule="atLeast"/>
              <w:jc w:val="center"/>
              <w:rPr>
                <w:rFonts w:ascii="宋体" w:hAnsi="宋体" w:cs="宋体"/>
              </w:rPr>
            </w:pPr>
            <w:r>
              <w:rPr>
                <w:rFonts w:hint="eastAsia" w:ascii="宋体" w:hAnsi="宋体" w:cs="宋体"/>
              </w:rPr>
              <w:t>1～</w:t>
            </w:r>
            <w:r>
              <w:rPr>
                <w:rFonts w:ascii="宋体" w:hAnsi="宋体" w:cs="宋体"/>
              </w:rPr>
              <w:t>2</w:t>
            </w:r>
            <w:r>
              <w:rPr>
                <w:rFonts w:hint="eastAsia" w:ascii="宋体" w:hAnsi="宋体" w:cs="宋体"/>
              </w:rPr>
              <w:t>mm</w:t>
            </w:r>
          </w:p>
        </w:tc>
        <w:tc>
          <w:tcPr>
            <w:tcW w:w="769" w:type="pct"/>
            <w:vAlign w:val="center"/>
          </w:tcPr>
          <w:p>
            <w:pPr>
              <w:spacing w:line="0" w:lineRule="atLeast"/>
              <w:jc w:val="center"/>
              <w:rPr>
                <w:rFonts w:ascii="宋体" w:hAnsi="宋体" w:cs="宋体"/>
              </w:rPr>
            </w:pPr>
            <w:r>
              <w:rPr>
                <w:rFonts w:ascii="宋体" w:hAnsi="宋体" w:cs="宋体"/>
              </w:rPr>
              <w:t>2</w:t>
            </w:r>
            <w:r>
              <w:rPr>
                <w:rFonts w:hint="eastAsia" w:ascii="宋体" w:hAnsi="宋体" w:cs="宋体"/>
              </w:rPr>
              <w:t>～4mm</w:t>
            </w:r>
          </w:p>
        </w:tc>
        <w:tc>
          <w:tcPr>
            <w:tcW w:w="959" w:type="pct"/>
            <w:vAlign w:val="center"/>
          </w:tcPr>
          <w:p>
            <w:pPr>
              <w:spacing w:line="0" w:lineRule="atLeast"/>
              <w:jc w:val="center"/>
              <w:rPr>
                <w:rFonts w:ascii="宋体" w:hAnsi="宋体" w:cs="宋体"/>
              </w:rPr>
            </w:pPr>
            <w:r>
              <w:rPr>
                <w:rFonts w:hint="eastAsia" w:ascii="宋体" w:hAnsi="宋体" w:cs="宋体"/>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Align w:val="center"/>
          </w:tcPr>
          <w:p>
            <w:pPr>
              <w:spacing w:line="0" w:lineRule="atLeast"/>
              <w:jc w:val="center"/>
              <w:rPr>
                <w:rFonts w:ascii="宋体" w:hAnsi="宋体" w:cs="宋体"/>
              </w:rPr>
            </w:pPr>
            <w:r>
              <w:rPr>
                <w:rFonts w:hint="eastAsia" w:ascii="宋体" w:hAnsi="宋体" w:cs="宋体"/>
              </w:rPr>
              <w:t>焊丝</w:t>
            </w:r>
          </w:p>
        </w:tc>
        <w:tc>
          <w:tcPr>
            <w:tcW w:w="1250" w:type="pct"/>
            <w:vAlign w:val="center"/>
          </w:tcPr>
          <w:p>
            <w:pPr>
              <w:spacing w:line="0" w:lineRule="atLeast"/>
              <w:jc w:val="center"/>
              <w:rPr>
                <w:rFonts w:ascii="宋体" w:hAnsi="宋体" w:cs="宋体"/>
              </w:rPr>
            </w:pPr>
            <w:r>
              <w:rPr>
                <w:rFonts w:hint="eastAsia" w:ascii="宋体" w:hAnsi="宋体" w:cs="宋体"/>
              </w:rPr>
              <w:t>Ф2.4</w:t>
            </w:r>
          </w:p>
        </w:tc>
        <w:tc>
          <w:tcPr>
            <w:tcW w:w="769" w:type="pct"/>
            <w:vAlign w:val="center"/>
          </w:tcPr>
          <w:p>
            <w:pPr>
              <w:spacing w:line="0" w:lineRule="atLeast"/>
              <w:jc w:val="center"/>
              <w:rPr>
                <w:rFonts w:ascii="宋体" w:hAnsi="宋体" w:cs="宋体"/>
              </w:rPr>
            </w:pPr>
            <w:r>
              <w:rPr>
                <w:rFonts w:hint="eastAsia" w:ascii="宋体" w:hAnsi="宋体" w:cs="宋体"/>
              </w:rPr>
              <w:t>0～</w:t>
            </w:r>
            <w:r>
              <w:rPr>
                <w:rFonts w:ascii="宋体" w:hAnsi="宋体" w:cs="宋体"/>
              </w:rPr>
              <w:t>2</w:t>
            </w:r>
            <w:r>
              <w:rPr>
                <w:rFonts w:hint="eastAsia" w:ascii="宋体" w:hAnsi="宋体" w:cs="宋体"/>
              </w:rPr>
              <w:t>mm</w:t>
            </w:r>
          </w:p>
        </w:tc>
        <w:tc>
          <w:tcPr>
            <w:tcW w:w="769" w:type="pct"/>
            <w:vAlign w:val="center"/>
          </w:tcPr>
          <w:p>
            <w:pPr>
              <w:spacing w:line="0" w:lineRule="atLeast"/>
              <w:jc w:val="center"/>
              <w:rPr>
                <w:rFonts w:ascii="宋体" w:hAnsi="宋体" w:cs="宋体"/>
              </w:rPr>
            </w:pPr>
            <w:r>
              <w:rPr>
                <w:rFonts w:ascii="宋体" w:hAnsi="宋体" w:cs="宋体"/>
              </w:rPr>
              <w:t>2</w:t>
            </w:r>
            <w:r>
              <w:rPr>
                <w:rFonts w:hint="eastAsia" w:ascii="宋体" w:hAnsi="宋体" w:cs="宋体"/>
              </w:rPr>
              <w:t>～4mm</w:t>
            </w:r>
          </w:p>
        </w:tc>
        <w:tc>
          <w:tcPr>
            <w:tcW w:w="959" w:type="pct"/>
            <w:vAlign w:val="center"/>
          </w:tcPr>
          <w:p>
            <w:pPr>
              <w:spacing w:line="0" w:lineRule="atLeast"/>
              <w:jc w:val="center"/>
              <w:rPr>
                <w:rFonts w:ascii="宋体" w:hAnsi="宋体" w:cs="宋体"/>
              </w:rPr>
            </w:pPr>
            <w:r>
              <w:rPr>
                <w:rFonts w:hint="eastAsia" w:ascii="宋体" w:hAnsi="宋体" w:cs="宋体"/>
              </w:rPr>
              <w:t>20～30°</w:t>
            </w:r>
          </w:p>
        </w:tc>
      </w:tr>
    </w:tbl>
    <w:p>
      <w:pPr>
        <w:pStyle w:val="4"/>
        <w:spacing w:line="360" w:lineRule="auto"/>
        <w:ind w:firstLine="0" w:firstLineChars="0"/>
        <w:jc w:val="center"/>
      </w:pPr>
      <w:r>
        <w:rPr>
          <w:rFonts w:hint="eastAsia"/>
        </w:rPr>
        <w:t>图8.6.2  推荐的底板边缘板对接焊缝坡口尺寸</w:t>
      </w:r>
    </w:p>
    <w:p>
      <w:pPr>
        <w:spacing w:line="360" w:lineRule="auto"/>
        <w:jc w:val="center"/>
        <w:rPr>
          <w:rFonts w:ascii="黑体" w:hAnsi="黑体" w:eastAsia="黑体"/>
        </w:rPr>
      </w:pPr>
    </w:p>
    <w:p>
      <w:pPr>
        <w:spacing w:line="360" w:lineRule="auto"/>
        <w:jc w:val="center"/>
        <w:rPr>
          <w:rFonts w:ascii="黑体" w:hAnsi="黑体" w:eastAsia="黑体"/>
        </w:rPr>
      </w:pPr>
      <w:r>
        <w:rPr>
          <w:rFonts w:hint="eastAsia" w:ascii="黑体" w:hAnsi="黑体" w:eastAsia="黑体"/>
        </w:rPr>
        <w:t>表8.6.2  推荐的底板边缘板对接焊缝焊接工艺参数</w:t>
      </w:r>
    </w:p>
    <w:tbl>
      <w:tblPr>
        <w:tblStyle w:val="32"/>
        <w:tblW w:w="5000" w:type="pc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712"/>
        <w:gridCol w:w="1002"/>
        <w:gridCol w:w="1719"/>
        <w:gridCol w:w="1575"/>
        <w:gridCol w:w="1719"/>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pct"/>
            <w:vAlign w:val="center"/>
          </w:tcPr>
          <w:p>
            <w:pPr>
              <w:spacing w:line="0" w:lineRule="atLeast"/>
              <w:jc w:val="center"/>
              <w:rPr>
                <w:rFonts w:ascii="宋体" w:hAnsi="宋体" w:cs="宋体"/>
              </w:rPr>
            </w:pPr>
            <w:r>
              <w:rPr>
                <w:rFonts w:hint="eastAsia" w:ascii="宋体" w:hAnsi="宋体" w:cs="宋体"/>
              </w:rPr>
              <w:t>焊接部位</w:t>
            </w:r>
          </w:p>
        </w:tc>
        <w:tc>
          <w:tcPr>
            <w:tcW w:w="385" w:type="pct"/>
            <w:vAlign w:val="center"/>
          </w:tcPr>
          <w:p>
            <w:pPr>
              <w:spacing w:line="0" w:lineRule="atLeast"/>
              <w:jc w:val="center"/>
              <w:rPr>
                <w:rFonts w:ascii="宋体" w:hAnsi="宋体" w:cs="宋体"/>
              </w:rPr>
            </w:pPr>
            <w:r>
              <w:rPr>
                <w:rFonts w:hint="eastAsia" w:ascii="宋体" w:hAnsi="宋体" w:cs="宋体"/>
              </w:rPr>
              <w:t>焊接位置</w:t>
            </w:r>
          </w:p>
        </w:tc>
        <w:tc>
          <w:tcPr>
            <w:tcW w:w="542" w:type="pct"/>
            <w:vAlign w:val="center"/>
          </w:tcPr>
          <w:p>
            <w:pPr>
              <w:spacing w:line="0" w:lineRule="atLeast"/>
              <w:jc w:val="center"/>
              <w:rPr>
                <w:rFonts w:ascii="宋体" w:hAnsi="宋体" w:cs="宋体"/>
              </w:rPr>
            </w:pPr>
            <w:r>
              <w:rPr>
                <w:rFonts w:hint="eastAsia" w:ascii="宋体" w:hAnsi="宋体" w:cs="宋体"/>
              </w:rPr>
              <w:t>焊丝直径/mm</w:t>
            </w:r>
          </w:p>
        </w:tc>
        <w:tc>
          <w:tcPr>
            <w:tcW w:w="930" w:type="pct"/>
            <w:vAlign w:val="center"/>
          </w:tcPr>
          <w:p>
            <w:pPr>
              <w:spacing w:line="0" w:lineRule="atLeast"/>
              <w:jc w:val="center"/>
              <w:rPr>
                <w:rFonts w:ascii="宋体" w:hAnsi="宋体" w:cs="宋体"/>
              </w:rPr>
            </w:pPr>
            <w:r>
              <w:rPr>
                <w:rFonts w:hint="eastAsia" w:ascii="宋体" w:hAnsi="宋体" w:cs="宋体"/>
              </w:rPr>
              <w:t>焊接电流/A</w:t>
            </w:r>
          </w:p>
        </w:tc>
        <w:tc>
          <w:tcPr>
            <w:tcW w:w="852" w:type="pct"/>
            <w:vAlign w:val="center"/>
          </w:tcPr>
          <w:p>
            <w:pPr>
              <w:spacing w:line="0" w:lineRule="atLeast"/>
              <w:jc w:val="center"/>
              <w:rPr>
                <w:rFonts w:ascii="宋体" w:hAnsi="宋体" w:cs="宋体"/>
              </w:rPr>
            </w:pPr>
            <w:r>
              <w:rPr>
                <w:rFonts w:hint="eastAsia" w:ascii="宋体" w:hAnsi="宋体" w:cs="宋体"/>
              </w:rPr>
              <w:t>焊接电压/V</w:t>
            </w:r>
          </w:p>
        </w:tc>
        <w:tc>
          <w:tcPr>
            <w:tcW w:w="930" w:type="pct"/>
            <w:vAlign w:val="center"/>
          </w:tcPr>
          <w:p>
            <w:pPr>
              <w:spacing w:line="0" w:lineRule="atLeast"/>
              <w:jc w:val="center"/>
              <w:rPr>
                <w:rFonts w:ascii="宋体" w:hAnsi="宋体" w:cs="宋体"/>
              </w:rPr>
            </w:pPr>
            <w:r>
              <w:rPr>
                <w:rFonts w:hint="eastAsia" w:ascii="宋体" w:hAnsi="宋体" w:cs="宋体"/>
              </w:rPr>
              <w:t>焊接速度/（cm/min）</w:t>
            </w:r>
          </w:p>
        </w:tc>
        <w:tc>
          <w:tcPr>
            <w:tcW w:w="821" w:type="pct"/>
            <w:vAlign w:val="center"/>
          </w:tcPr>
          <w:p>
            <w:pPr>
              <w:spacing w:line="0" w:lineRule="atLeast"/>
              <w:jc w:val="center"/>
              <w:rPr>
                <w:rFonts w:ascii="宋体" w:hAnsi="宋体" w:cs="宋体"/>
              </w:rPr>
            </w:pPr>
            <w:r>
              <w:rPr>
                <w:rFonts w:hint="eastAsia" w:ascii="宋体" w:hAnsi="宋体" w:cs="宋体"/>
              </w:rPr>
              <w:t>焊枪角度/°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pct"/>
            <w:vAlign w:val="center"/>
          </w:tcPr>
          <w:p>
            <w:pPr>
              <w:spacing w:line="0" w:lineRule="atLeast"/>
              <w:jc w:val="center"/>
              <w:rPr>
                <w:rFonts w:ascii="宋体" w:hAnsi="宋体" w:cs="宋体"/>
              </w:rPr>
            </w:pPr>
            <w:r>
              <w:rPr>
                <w:rFonts w:hint="eastAsia" w:ascii="宋体" w:hAnsi="宋体" w:cs="宋体"/>
              </w:rPr>
              <w:t>底板边缘板对接焊缝</w:t>
            </w:r>
          </w:p>
        </w:tc>
        <w:tc>
          <w:tcPr>
            <w:tcW w:w="385" w:type="pct"/>
            <w:vAlign w:val="center"/>
          </w:tcPr>
          <w:p>
            <w:pPr>
              <w:spacing w:line="0" w:lineRule="atLeast"/>
              <w:jc w:val="center"/>
              <w:rPr>
                <w:rFonts w:ascii="宋体" w:hAnsi="宋体" w:cs="宋体"/>
              </w:rPr>
            </w:pPr>
            <w:r>
              <w:rPr>
                <w:rFonts w:hint="eastAsia" w:ascii="宋体" w:hAnsi="宋体" w:cs="宋体"/>
              </w:rPr>
              <w:t>1G</w:t>
            </w:r>
          </w:p>
        </w:tc>
        <w:tc>
          <w:tcPr>
            <w:tcW w:w="542" w:type="pct"/>
            <w:vAlign w:val="center"/>
          </w:tcPr>
          <w:p>
            <w:pPr>
              <w:spacing w:line="0" w:lineRule="atLeast"/>
              <w:jc w:val="center"/>
              <w:rPr>
                <w:rFonts w:ascii="宋体" w:hAnsi="宋体" w:cs="宋体"/>
              </w:rPr>
            </w:pPr>
            <w:r>
              <w:rPr>
                <w:rFonts w:hint="eastAsia" w:ascii="宋体" w:hAnsi="宋体" w:cs="宋体"/>
              </w:rPr>
              <w:t>Ф1.6</w:t>
            </w:r>
          </w:p>
        </w:tc>
        <w:tc>
          <w:tcPr>
            <w:tcW w:w="930" w:type="pct"/>
            <w:vAlign w:val="center"/>
          </w:tcPr>
          <w:p>
            <w:pPr>
              <w:spacing w:line="0" w:lineRule="atLeast"/>
              <w:jc w:val="center"/>
              <w:rPr>
                <w:rFonts w:ascii="宋体" w:hAnsi="宋体" w:cs="宋体"/>
              </w:rPr>
            </w:pPr>
            <w:r>
              <w:rPr>
                <w:rFonts w:hint="eastAsia" w:ascii="宋体" w:hAnsi="宋体" w:cs="宋体"/>
              </w:rPr>
              <w:t>填充：280～320</w:t>
            </w:r>
          </w:p>
          <w:p>
            <w:pPr>
              <w:spacing w:line="0" w:lineRule="atLeast"/>
              <w:jc w:val="center"/>
              <w:rPr>
                <w:rFonts w:ascii="宋体" w:hAnsi="宋体" w:cs="宋体"/>
              </w:rPr>
            </w:pPr>
            <w:r>
              <w:rPr>
                <w:rFonts w:hint="eastAsia" w:ascii="宋体" w:hAnsi="宋体" w:cs="宋体"/>
              </w:rPr>
              <w:t>盖面：280～320</w:t>
            </w:r>
          </w:p>
        </w:tc>
        <w:tc>
          <w:tcPr>
            <w:tcW w:w="852" w:type="pct"/>
            <w:vAlign w:val="center"/>
          </w:tcPr>
          <w:p>
            <w:pPr>
              <w:spacing w:line="0" w:lineRule="atLeast"/>
              <w:jc w:val="center"/>
              <w:rPr>
                <w:rFonts w:ascii="宋体" w:hAnsi="宋体" w:cs="宋体"/>
              </w:rPr>
            </w:pPr>
            <w:r>
              <w:rPr>
                <w:rFonts w:hint="eastAsia" w:ascii="宋体" w:hAnsi="宋体" w:cs="宋体"/>
              </w:rPr>
              <w:t>填充：28～34</w:t>
            </w:r>
          </w:p>
          <w:p>
            <w:pPr>
              <w:spacing w:line="0" w:lineRule="atLeast"/>
              <w:jc w:val="center"/>
              <w:rPr>
                <w:rFonts w:ascii="宋体" w:hAnsi="宋体" w:cs="宋体"/>
              </w:rPr>
            </w:pPr>
            <w:r>
              <w:rPr>
                <w:rFonts w:hint="eastAsia" w:ascii="宋体" w:hAnsi="宋体" w:cs="宋体"/>
              </w:rPr>
              <w:t>盖面：28～34</w:t>
            </w:r>
          </w:p>
        </w:tc>
        <w:tc>
          <w:tcPr>
            <w:tcW w:w="930" w:type="pct"/>
            <w:vAlign w:val="center"/>
          </w:tcPr>
          <w:p>
            <w:pPr>
              <w:spacing w:line="0" w:lineRule="atLeast"/>
              <w:jc w:val="center"/>
              <w:rPr>
                <w:rFonts w:ascii="宋体" w:hAnsi="宋体" w:cs="宋体"/>
              </w:rPr>
            </w:pPr>
            <w:r>
              <w:rPr>
                <w:rFonts w:hint="eastAsia" w:ascii="宋体" w:hAnsi="宋体" w:cs="宋体"/>
              </w:rPr>
              <w:t>填充：30～40</w:t>
            </w:r>
          </w:p>
          <w:p>
            <w:pPr>
              <w:spacing w:line="0" w:lineRule="atLeast"/>
              <w:jc w:val="center"/>
              <w:rPr>
                <w:rFonts w:ascii="宋体" w:hAnsi="宋体" w:cs="宋体"/>
              </w:rPr>
            </w:pPr>
            <w:r>
              <w:rPr>
                <w:rFonts w:hint="eastAsia" w:ascii="宋体" w:hAnsi="宋体" w:cs="宋体"/>
              </w:rPr>
              <w:t>盖面：30～40</w:t>
            </w:r>
          </w:p>
        </w:tc>
        <w:tc>
          <w:tcPr>
            <w:tcW w:w="821" w:type="pct"/>
            <w:vAlign w:val="center"/>
          </w:tcPr>
          <w:p>
            <w:pPr>
              <w:spacing w:line="0" w:lineRule="atLeast"/>
              <w:jc w:val="center"/>
              <w:rPr>
                <w:rFonts w:ascii="宋体" w:hAnsi="宋体" w:cs="宋体"/>
              </w:rPr>
            </w:pPr>
            <w:r>
              <w:rPr>
                <w:rFonts w:hint="eastAsia" w:ascii="宋体" w:hAnsi="宋体" w:cs="宋体"/>
              </w:rPr>
              <w:t>填充：85～95</w:t>
            </w:r>
          </w:p>
          <w:p>
            <w:pPr>
              <w:spacing w:line="0" w:lineRule="atLeast"/>
              <w:jc w:val="center"/>
              <w:rPr>
                <w:rFonts w:ascii="宋体" w:hAnsi="宋体" w:cs="宋体"/>
              </w:rPr>
            </w:pPr>
            <w:r>
              <w:rPr>
                <w:rFonts w:hint="eastAsia" w:ascii="宋体" w:hAnsi="宋体" w:cs="宋体"/>
              </w:rPr>
              <w:t>盖面：85～95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pct"/>
            <w:vAlign w:val="center"/>
          </w:tcPr>
          <w:p>
            <w:pPr>
              <w:spacing w:line="0" w:lineRule="atLeast"/>
              <w:jc w:val="center"/>
              <w:rPr>
                <w:rFonts w:ascii="宋体" w:hAnsi="宋体" w:cs="宋体"/>
              </w:rPr>
            </w:pPr>
            <w:r>
              <w:rPr>
                <w:rFonts w:hint="eastAsia" w:ascii="宋体" w:hAnsi="宋体" w:cs="宋体"/>
              </w:rPr>
              <w:t>底板边缘板对接焊缝</w:t>
            </w:r>
          </w:p>
        </w:tc>
        <w:tc>
          <w:tcPr>
            <w:tcW w:w="385" w:type="pct"/>
            <w:vAlign w:val="center"/>
          </w:tcPr>
          <w:p>
            <w:pPr>
              <w:spacing w:line="0" w:lineRule="atLeast"/>
              <w:jc w:val="center"/>
              <w:rPr>
                <w:rFonts w:ascii="宋体" w:hAnsi="宋体" w:cs="宋体"/>
              </w:rPr>
            </w:pPr>
            <w:r>
              <w:rPr>
                <w:rFonts w:hint="eastAsia" w:ascii="宋体" w:hAnsi="宋体" w:cs="宋体"/>
              </w:rPr>
              <w:t>1G</w:t>
            </w:r>
          </w:p>
        </w:tc>
        <w:tc>
          <w:tcPr>
            <w:tcW w:w="542" w:type="pct"/>
            <w:vAlign w:val="center"/>
          </w:tcPr>
          <w:p>
            <w:pPr>
              <w:spacing w:line="0" w:lineRule="atLeast"/>
              <w:jc w:val="center"/>
              <w:rPr>
                <w:rFonts w:ascii="宋体" w:hAnsi="宋体" w:cs="宋体"/>
              </w:rPr>
            </w:pPr>
            <w:r>
              <w:rPr>
                <w:rFonts w:hint="eastAsia" w:ascii="宋体" w:hAnsi="宋体" w:cs="宋体"/>
              </w:rPr>
              <w:t>Ф2.4</w:t>
            </w:r>
          </w:p>
        </w:tc>
        <w:tc>
          <w:tcPr>
            <w:tcW w:w="930" w:type="pct"/>
            <w:vAlign w:val="center"/>
          </w:tcPr>
          <w:p>
            <w:pPr>
              <w:spacing w:line="0" w:lineRule="atLeast"/>
              <w:jc w:val="center"/>
              <w:rPr>
                <w:rFonts w:ascii="宋体" w:hAnsi="宋体" w:cs="宋体"/>
              </w:rPr>
            </w:pPr>
            <w:r>
              <w:rPr>
                <w:rFonts w:hint="eastAsia" w:ascii="宋体" w:hAnsi="宋体" w:cs="宋体"/>
              </w:rPr>
              <w:t>填充：300～340</w:t>
            </w:r>
          </w:p>
          <w:p>
            <w:pPr>
              <w:spacing w:line="0" w:lineRule="atLeast"/>
              <w:jc w:val="center"/>
              <w:rPr>
                <w:rFonts w:ascii="宋体" w:hAnsi="宋体" w:cs="宋体"/>
              </w:rPr>
            </w:pPr>
            <w:r>
              <w:rPr>
                <w:rFonts w:hint="eastAsia" w:ascii="宋体" w:hAnsi="宋体" w:cs="宋体"/>
              </w:rPr>
              <w:t>盖面：300～340</w:t>
            </w:r>
          </w:p>
        </w:tc>
        <w:tc>
          <w:tcPr>
            <w:tcW w:w="852" w:type="pct"/>
            <w:vAlign w:val="center"/>
          </w:tcPr>
          <w:p>
            <w:pPr>
              <w:spacing w:line="0" w:lineRule="atLeast"/>
              <w:jc w:val="center"/>
              <w:rPr>
                <w:rFonts w:ascii="宋体" w:hAnsi="宋体" w:cs="宋体"/>
              </w:rPr>
            </w:pPr>
            <w:r>
              <w:rPr>
                <w:rFonts w:hint="eastAsia" w:ascii="宋体" w:hAnsi="宋体" w:cs="宋体"/>
              </w:rPr>
              <w:t>填充：30～36</w:t>
            </w:r>
          </w:p>
          <w:p>
            <w:pPr>
              <w:spacing w:line="0" w:lineRule="atLeast"/>
              <w:jc w:val="center"/>
              <w:rPr>
                <w:rFonts w:ascii="宋体" w:hAnsi="宋体" w:cs="宋体"/>
              </w:rPr>
            </w:pPr>
            <w:r>
              <w:rPr>
                <w:rFonts w:hint="eastAsia" w:ascii="宋体" w:hAnsi="宋体" w:cs="宋体"/>
              </w:rPr>
              <w:t>盖面：30～36</w:t>
            </w:r>
          </w:p>
        </w:tc>
        <w:tc>
          <w:tcPr>
            <w:tcW w:w="930" w:type="pct"/>
            <w:vAlign w:val="center"/>
          </w:tcPr>
          <w:p>
            <w:pPr>
              <w:spacing w:line="0" w:lineRule="atLeast"/>
              <w:jc w:val="center"/>
              <w:rPr>
                <w:rFonts w:ascii="宋体" w:hAnsi="宋体" w:cs="宋体"/>
              </w:rPr>
            </w:pPr>
            <w:r>
              <w:rPr>
                <w:rFonts w:hint="eastAsia" w:ascii="宋体" w:hAnsi="宋体" w:cs="宋体"/>
              </w:rPr>
              <w:t>填充：32～45</w:t>
            </w:r>
          </w:p>
          <w:p>
            <w:pPr>
              <w:spacing w:line="0" w:lineRule="atLeast"/>
              <w:jc w:val="center"/>
              <w:rPr>
                <w:rFonts w:ascii="宋体" w:hAnsi="宋体" w:cs="宋体"/>
              </w:rPr>
            </w:pPr>
            <w:r>
              <w:rPr>
                <w:rFonts w:hint="eastAsia" w:ascii="宋体" w:hAnsi="宋体" w:cs="宋体"/>
              </w:rPr>
              <w:t>盖面：32～45</w:t>
            </w:r>
          </w:p>
        </w:tc>
        <w:tc>
          <w:tcPr>
            <w:tcW w:w="821" w:type="pct"/>
            <w:vAlign w:val="center"/>
          </w:tcPr>
          <w:p>
            <w:pPr>
              <w:spacing w:line="0" w:lineRule="atLeast"/>
              <w:jc w:val="center"/>
              <w:rPr>
                <w:rFonts w:ascii="宋体" w:hAnsi="宋体" w:cs="宋体"/>
              </w:rPr>
            </w:pPr>
            <w:r>
              <w:rPr>
                <w:rFonts w:hint="eastAsia" w:ascii="宋体" w:hAnsi="宋体" w:cs="宋体"/>
              </w:rPr>
              <w:t>填充：85～95</w:t>
            </w:r>
          </w:p>
          <w:p>
            <w:pPr>
              <w:spacing w:line="0" w:lineRule="atLeast"/>
              <w:jc w:val="center"/>
              <w:rPr>
                <w:rFonts w:ascii="宋体" w:hAnsi="宋体" w:cs="宋体"/>
              </w:rPr>
            </w:pPr>
            <w:r>
              <w:rPr>
                <w:rFonts w:hint="eastAsia" w:ascii="宋体" w:hAnsi="宋体" w:cs="宋体"/>
              </w:rPr>
              <w:t>盖面：85～95</w:t>
            </w:r>
          </w:p>
        </w:tc>
      </w:tr>
    </w:tbl>
    <w:p>
      <w:pPr>
        <w:pStyle w:val="4"/>
        <w:spacing w:line="360" w:lineRule="auto"/>
        <w:ind w:firstLine="0" w:firstLineChars="0"/>
        <w:jc w:val="center"/>
      </w:pPr>
    </w:p>
    <w:p>
      <w:pPr>
        <w:pStyle w:val="4"/>
        <w:spacing w:line="360" w:lineRule="auto"/>
        <w:ind w:firstLine="0" w:firstLineChars="0"/>
      </w:pPr>
      <w:r>
        <w:rPr>
          <w:rFonts w:hint="eastAsia"/>
        </w:rPr>
        <w:t>8.6.3 底板边缘板对接焊缝组对定位焊长度宜为50～100mm，两定位焊之间间距宜为100～150mm。</w:t>
      </w:r>
    </w:p>
    <w:p>
      <w:pPr>
        <w:pStyle w:val="4"/>
        <w:spacing w:line="360" w:lineRule="auto"/>
        <w:ind w:firstLine="0" w:firstLineChars="0"/>
      </w:pPr>
      <w:r>
        <w:rPr>
          <w:rFonts w:hint="eastAsia"/>
        </w:rPr>
        <w:t>8.6.4 底板边缘板对接焊缝埋弧焊前，应采用焊缝位置抬高的方式，提前预留反变形。定位焊前，在距离焊缝200～300mm的位置设置反变形，反变形尺寸为50mm；打底焊接完成后，反变形尺寸宜增加至300～400mm，并在焊接过程中，根据实际变形情况采用焊缝两侧配重的方式进行焊缝变形的控制。</w:t>
      </w:r>
    </w:p>
    <w:p>
      <w:pPr>
        <w:pStyle w:val="4"/>
        <w:spacing w:line="360" w:lineRule="auto"/>
        <w:ind w:firstLine="0" w:firstLineChars="0"/>
      </w:pPr>
      <w:r>
        <w:rPr>
          <w:rFonts w:hint="eastAsia"/>
        </w:rPr>
        <w:t xml:space="preserve">8.6.5 </w:t>
      </w:r>
      <w:r>
        <w:t>焊接时焊枪角度宜为</w:t>
      </w:r>
      <w:r>
        <w:rPr>
          <w:rFonts w:hint="eastAsia"/>
        </w:rPr>
        <w:t>85～95</w:t>
      </w:r>
      <w:r>
        <w:t>°</w:t>
      </w:r>
      <w:r>
        <w:rPr>
          <w:rFonts w:hint="eastAsia"/>
        </w:rPr>
        <w:t>，</w:t>
      </w:r>
      <w:r>
        <w:t>焊丝干伸长度宜为20～25mm，焊剂堆高宜为30～40mm，</w:t>
      </w:r>
      <w:r>
        <w:rPr>
          <w:rFonts w:hint="eastAsia"/>
        </w:rPr>
        <w:t>焊丝应始终对准上一道焊道的熔合线位置，</w:t>
      </w:r>
      <w:r>
        <w:t>其余焊接工艺参数应符合焊接工艺规程的要求。</w:t>
      </w:r>
    </w:p>
    <w:p>
      <w:pPr>
        <w:pStyle w:val="4"/>
        <w:spacing w:line="360" w:lineRule="auto"/>
        <w:ind w:firstLine="0" w:firstLineChars="0"/>
      </w:pPr>
      <w:r>
        <w:rPr>
          <w:rFonts w:hint="eastAsia"/>
        </w:rPr>
        <w:t>8.6.7 焊道宽度超过12mm时，应分道焊接。</w:t>
      </w:r>
    </w:p>
    <w:p>
      <w:pPr>
        <w:pStyle w:val="3"/>
        <w:spacing w:line="360" w:lineRule="auto"/>
        <w:rPr>
          <w:rFonts w:ascii="Times New Roman" w:hAnsi="Times New Roman" w:cs="Times New Roman"/>
        </w:rPr>
      </w:pPr>
      <w:bookmarkStart w:id="37" w:name="_Toc159410680"/>
      <w:r>
        <w:rPr>
          <w:rFonts w:hint="eastAsia" w:ascii="Times New Roman" w:hAnsi="Times New Roman" w:cs="Times New Roman"/>
        </w:rPr>
        <w:t>8.7  大角焊缝</w:t>
      </w:r>
      <w:bookmarkEnd w:id="37"/>
    </w:p>
    <w:p>
      <w:pPr>
        <w:pStyle w:val="4"/>
        <w:spacing w:line="360" w:lineRule="auto"/>
        <w:ind w:firstLine="0" w:firstLineChars="0"/>
      </w:pPr>
      <w:r>
        <w:rPr>
          <w:rFonts w:hint="eastAsia"/>
        </w:rPr>
        <w:t>8.7.1 大角焊缝宜采用手工焊条电弧焊打底，埋弧焊填充、盖面的焊接工艺。</w:t>
      </w:r>
    </w:p>
    <w:p>
      <w:pPr>
        <w:pStyle w:val="4"/>
        <w:spacing w:line="360" w:lineRule="auto"/>
        <w:ind w:firstLine="0" w:firstLineChars="0"/>
      </w:pPr>
      <w:r>
        <w:rPr>
          <w:rFonts w:hint="eastAsia"/>
        </w:rPr>
        <w:t>8.7.2 大角焊缝推荐的坡口尺寸见图8.7.2，推荐的埋弧焊接工艺参数见表8.7.2。</w:t>
      </w:r>
    </w:p>
    <w:p>
      <w:pPr>
        <w:spacing w:line="360" w:lineRule="auto"/>
        <w:jc w:val="center"/>
        <w:rPr>
          <w:rFonts w:asciiTheme="minorEastAsia" w:hAnsiTheme="minorEastAsia"/>
        </w:rPr>
      </w:pPr>
      <w:r>
        <w:rPr>
          <w:rFonts w:hint="eastAsia" w:asciiTheme="minorEastAsia" w:hAnsiTheme="minorEastAsia"/>
        </w:rPr>
        <w:object>
          <v:shape id="_x0000_i1028" o:spt="75" type="#_x0000_t75" style="height:225.75pt;width:318.75pt;" o:ole="t" filled="f" o:preferrelative="t" stroked="f" coordsize="21600,21600">
            <v:path/>
            <v:fill on="f" focussize="0,0"/>
            <v:stroke on="f" joinstyle="miter"/>
            <v:imagedata r:id="rId8" cropleft="9773f" croptop="14492f" cropright="48525f" cropbottom="30064f" o:title=""/>
            <o:lock v:ext="edit" aspectratio="t"/>
            <w10:wrap type="none"/>
            <w10:anchorlock/>
          </v:shape>
          <o:OLEObject Type="Embed" ProgID="AutoCAD.Drawing.24" ShapeID="_x0000_i1028" DrawAspect="Content" ObjectID="_1468075728" r:id="rId11">
            <o:LockedField>false</o:LockedField>
          </o:OLEObject>
        </w:object>
      </w:r>
    </w:p>
    <w:tbl>
      <w:tblPr>
        <w:tblStyle w:val="3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7"/>
        <w:gridCol w:w="1896"/>
        <w:gridCol w:w="1896"/>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spacing w:line="0" w:lineRule="atLeast"/>
              <w:jc w:val="center"/>
              <w:rPr>
                <w:rFonts w:ascii="宋体" w:hAnsi="宋体" w:cs="宋体"/>
              </w:rPr>
            </w:pPr>
            <w:r>
              <w:rPr>
                <w:rFonts w:hint="eastAsia" w:ascii="宋体" w:hAnsi="宋体" w:cs="宋体"/>
              </w:rPr>
              <w:t>焊丝直径/mm</w:t>
            </w:r>
          </w:p>
        </w:tc>
        <w:tc>
          <w:tcPr>
            <w:tcW w:w="1026" w:type="pct"/>
          </w:tcPr>
          <w:p>
            <w:pPr>
              <w:spacing w:line="0" w:lineRule="atLeast"/>
              <w:jc w:val="center"/>
              <w:rPr>
                <w:rFonts w:ascii="宋体" w:hAnsi="宋体" w:cs="宋体"/>
              </w:rPr>
            </w:pPr>
            <w:r>
              <w:rPr>
                <w:rFonts w:hint="eastAsia" w:ascii="宋体" w:hAnsi="宋体" w:cs="宋体"/>
              </w:rPr>
              <w:t>p</w:t>
            </w:r>
          </w:p>
        </w:tc>
        <w:tc>
          <w:tcPr>
            <w:tcW w:w="1026" w:type="pct"/>
          </w:tcPr>
          <w:p>
            <w:pPr>
              <w:spacing w:line="0" w:lineRule="atLeast"/>
              <w:jc w:val="center"/>
              <w:rPr>
                <w:rFonts w:ascii="宋体" w:hAnsi="宋体" w:cs="宋体"/>
              </w:rPr>
            </w:pPr>
            <w:r>
              <w:rPr>
                <w:rFonts w:hint="eastAsia" w:ascii="宋体" w:hAnsi="宋体" w:cs="宋体"/>
              </w:rPr>
              <w:t>b</w:t>
            </w:r>
          </w:p>
        </w:tc>
        <w:tc>
          <w:tcPr>
            <w:tcW w:w="1282" w:type="pct"/>
          </w:tcPr>
          <w:p>
            <w:pPr>
              <w:spacing w:line="0" w:lineRule="atLeast"/>
              <w:jc w:val="center"/>
              <w:rPr>
                <w:rFonts w:ascii="宋体" w:hAnsi="宋体" w:cs="宋体"/>
              </w:rPr>
            </w:pPr>
            <w:r>
              <w:rPr>
                <w:rFonts w:hint="eastAsia" w:ascii="宋体" w:hAnsi="宋体" w:cs="宋体"/>
              </w:rPr>
              <w:t>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spacing w:line="0" w:lineRule="atLeast"/>
              <w:jc w:val="center"/>
              <w:rPr>
                <w:rFonts w:ascii="宋体" w:hAnsi="宋体" w:cs="宋体"/>
              </w:rPr>
            </w:pPr>
            <w:r>
              <w:rPr>
                <w:rFonts w:hint="eastAsia" w:ascii="宋体" w:hAnsi="宋体" w:cs="宋体"/>
              </w:rPr>
              <w:t>Ф1.6</w:t>
            </w:r>
          </w:p>
        </w:tc>
        <w:tc>
          <w:tcPr>
            <w:tcW w:w="1026" w:type="pct"/>
          </w:tcPr>
          <w:p>
            <w:pPr>
              <w:spacing w:line="0" w:lineRule="atLeast"/>
              <w:jc w:val="center"/>
              <w:rPr>
                <w:rFonts w:ascii="宋体" w:hAnsi="宋体" w:cs="宋体"/>
              </w:rPr>
            </w:pPr>
            <w:r>
              <w:rPr>
                <w:rFonts w:hint="eastAsia" w:ascii="宋体" w:hAnsi="宋体" w:cs="宋体"/>
              </w:rPr>
              <w:t>2～4mm</w:t>
            </w:r>
          </w:p>
        </w:tc>
        <w:tc>
          <w:tcPr>
            <w:tcW w:w="1026" w:type="pct"/>
          </w:tcPr>
          <w:p>
            <w:pPr>
              <w:spacing w:line="0" w:lineRule="atLeast"/>
              <w:jc w:val="center"/>
              <w:rPr>
                <w:rFonts w:ascii="宋体" w:hAnsi="宋体" w:cs="宋体"/>
              </w:rPr>
            </w:pPr>
            <w:r>
              <w:rPr>
                <w:rFonts w:hint="eastAsia" w:ascii="宋体" w:hAnsi="宋体" w:cs="宋体"/>
              </w:rPr>
              <w:t>2～3mm</w:t>
            </w:r>
          </w:p>
        </w:tc>
        <w:tc>
          <w:tcPr>
            <w:tcW w:w="1282" w:type="pct"/>
          </w:tcPr>
          <w:p>
            <w:pPr>
              <w:spacing w:line="0" w:lineRule="atLeast"/>
              <w:jc w:val="center"/>
              <w:rPr>
                <w:rFonts w:ascii="宋体" w:hAnsi="宋体" w:cs="宋体"/>
              </w:rPr>
            </w:pPr>
            <w:r>
              <w:rPr>
                <w:rFonts w:hint="eastAsia" w:ascii="宋体" w:hAnsi="宋体" w:cs="宋体"/>
              </w:rPr>
              <w:t>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pct"/>
          </w:tcPr>
          <w:p>
            <w:pPr>
              <w:spacing w:line="0" w:lineRule="atLeast"/>
              <w:jc w:val="center"/>
              <w:rPr>
                <w:rFonts w:ascii="宋体" w:hAnsi="宋体" w:cs="宋体"/>
              </w:rPr>
            </w:pPr>
            <w:r>
              <w:rPr>
                <w:rFonts w:hint="eastAsia" w:ascii="宋体" w:hAnsi="宋体" w:cs="宋体"/>
              </w:rPr>
              <w:t>Ф2.4</w:t>
            </w:r>
          </w:p>
        </w:tc>
        <w:tc>
          <w:tcPr>
            <w:tcW w:w="1026" w:type="pct"/>
          </w:tcPr>
          <w:p>
            <w:pPr>
              <w:spacing w:line="0" w:lineRule="atLeast"/>
              <w:jc w:val="center"/>
              <w:rPr>
                <w:rFonts w:ascii="宋体" w:hAnsi="宋体" w:cs="宋体"/>
              </w:rPr>
            </w:pPr>
            <w:r>
              <w:rPr>
                <w:rFonts w:hint="eastAsia" w:ascii="宋体" w:hAnsi="宋体" w:cs="宋体"/>
              </w:rPr>
              <w:t>2～4mm</w:t>
            </w:r>
          </w:p>
        </w:tc>
        <w:tc>
          <w:tcPr>
            <w:tcW w:w="1026" w:type="pct"/>
          </w:tcPr>
          <w:p>
            <w:pPr>
              <w:spacing w:line="0" w:lineRule="atLeast"/>
              <w:jc w:val="center"/>
              <w:rPr>
                <w:rFonts w:ascii="宋体" w:hAnsi="宋体" w:cs="宋体"/>
              </w:rPr>
            </w:pPr>
            <w:r>
              <w:rPr>
                <w:rFonts w:ascii="宋体" w:hAnsi="宋体" w:cs="宋体"/>
              </w:rPr>
              <w:t>4</w:t>
            </w:r>
            <w:r>
              <w:rPr>
                <w:rFonts w:hint="eastAsia" w:ascii="宋体" w:hAnsi="宋体" w:cs="宋体"/>
              </w:rPr>
              <w:t>～</w:t>
            </w:r>
            <w:r>
              <w:rPr>
                <w:rFonts w:ascii="宋体" w:hAnsi="宋体" w:cs="宋体"/>
              </w:rPr>
              <w:t>5</w:t>
            </w:r>
            <w:r>
              <w:rPr>
                <w:rFonts w:hint="eastAsia" w:ascii="宋体" w:hAnsi="宋体" w:cs="宋体"/>
              </w:rPr>
              <w:t>mm</w:t>
            </w:r>
          </w:p>
        </w:tc>
        <w:tc>
          <w:tcPr>
            <w:tcW w:w="1282" w:type="pct"/>
          </w:tcPr>
          <w:p>
            <w:pPr>
              <w:spacing w:line="0" w:lineRule="atLeast"/>
              <w:jc w:val="center"/>
              <w:rPr>
                <w:rFonts w:ascii="宋体" w:hAnsi="宋体" w:cs="宋体"/>
              </w:rPr>
            </w:pPr>
            <w:r>
              <w:rPr>
                <w:rFonts w:hint="eastAsia" w:ascii="宋体" w:hAnsi="宋体" w:cs="宋体"/>
              </w:rPr>
              <w:t>40～50°</w:t>
            </w:r>
          </w:p>
        </w:tc>
      </w:tr>
    </w:tbl>
    <w:p>
      <w:pPr>
        <w:spacing w:line="360" w:lineRule="auto"/>
        <w:jc w:val="center"/>
        <w:rPr>
          <w:rFonts w:asciiTheme="minorEastAsia" w:hAnsiTheme="minorEastAsia"/>
        </w:rPr>
      </w:pPr>
      <w:r>
        <w:rPr>
          <w:rFonts w:hint="eastAsia" w:asciiTheme="minorEastAsia" w:hAnsiTheme="minorEastAsia"/>
        </w:rPr>
        <w:t>图8.7.2  推荐的大角焊缝坡口尺寸</w:t>
      </w:r>
    </w:p>
    <w:p>
      <w:pPr>
        <w:spacing w:line="360" w:lineRule="auto"/>
        <w:jc w:val="center"/>
        <w:rPr>
          <w:rFonts w:ascii="宋体" w:hAnsi="宋体" w:cs="宋体"/>
        </w:rPr>
      </w:pPr>
      <w:r>
        <w:rPr>
          <w:rFonts w:hint="eastAsia" w:ascii="宋体" w:hAnsi="宋体" w:cs="宋体"/>
        </w:rPr>
        <w:t>表8.7.2  推荐的大角焊缝焊接工艺参数</w:t>
      </w:r>
    </w:p>
    <w:tbl>
      <w:tblPr>
        <w:tblStyle w:val="3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723"/>
        <w:gridCol w:w="1017"/>
        <w:gridCol w:w="1745"/>
        <w:gridCol w:w="1599"/>
        <w:gridCol w:w="1745"/>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8" w:type="pct"/>
            <w:vAlign w:val="center"/>
          </w:tcPr>
          <w:p>
            <w:pPr>
              <w:spacing w:line="0" w:lineRule="atLeast"/>
              <w:jc w:val="center"/>
              <w:rPr>
                <w:rFonts w:ascii="宋体" w:hAnsi="宋体" w:cs="宋体"/>
              </w:rPr>
            </w:pPr>
            <w:r>
              <w:rPr>
                <w:rFonts w:hint="eastAsia" w:ascii="宋体" w:hAnsi="宋体" w:cs="宋体"/>
              </w:rPr>
              <w:t>焊接部位</w:t>
            </w:r>
          </w:p>
        </w:tc>
        <w:tc>
          <w:tcPr>
            <w:tcW w:w="391" w:type="pct"/>
            <w:vAlign w:val="center"/>
          </w:tcPr>
          <w:p>
            <w:pPr>
              <w:spacing w:line="0" w:lineRule="atLeast"/>
              <w:jc w:val="center"/>
              <w:rPr>
                <w:rFonts w:ascii="宋体" w:hAnsi="宋体" w:cs="宋体"/>
              </w:rPr>
            </w:pPr>
            <w:r>
              <w:rPr>
                <w:rFonts w:hint="eastAsia" w:ascii="宋体" w:hAnsi="宋体" w:cs="宋体"/>
              </w:rPr>
              <w:t>焊接位置</w:t>
            </w:r>
          </w:p>
        </w:tc>
        <w:tc>
          <w:tcPr>
            <w:tcW w:w="550" w:type="pct"/>
            <w:vAlign w:val="center"/>
          </w:tcPr>
          <w:p>
            <w:pPr>
              <w:spacing w:line="0" w:lineRule="atLeast"/>
              <w:jc w:val="center"/>
              <w:rPr>
                <w:rFonts w:ascii="宋体" w:hAnsi="宋体" w:cs="宋体"/>
              </w:rPr>
            </w:pPr>
            <w:r>
              <w:rPr>
                <w:rFonts w:hint="eastAsia" w:ascii="宋体" w:hAnsi="宋体" w:cs="宋体"/>
              </w:rPr>
              <w:t>焊丝直径/mm</w:t>
            </w:r>
          </w:p>
        </w:tc>
        <w:tc>
          <w:tcPr>
            <w:tcW w:w="944" w:type="pct"/>
            <w:vAlign w:val="center"/>
          </w:tcPr>
          <w:p>
            <w:pPr>
              <w:spacing w:line="0" w:lineRule="atLeast"/>
              <w:jc w:val="center"/>
              <w:rPr>
                <w:rFonts w:ascii="宋体" w:hAnsi="宋体" w:cs="宋体"/>
              </w:rPr>
            </w:pPr>
            <w:r>
              <w:rPr>
                <w:rFonts w:hint="eastAsia" w:ascii="宋体" w:hAnsi="宋体" w:cs="宋体"/>
              </w:rPr>
              <w:t>焊接电流/A</w:t>
            </w:r>
          </w:p>
        </w:tc>
        <w:tc>
          <w:tcPr>
            <w:tcW w:w="865" w:type="pct"/>
            <w:vAlign w:val="center"/>
          </w:tcPr>
          <w:p>
            <w:pPr>
              <w:spacing w:line="0" w:lineRule="atLeast"/>
              <w:jc w:val="center"/>
              <w:rPr>
                <w:rFonts w:ascii="宋体" w:hAnsi="宋体" w:cs="宋体"/>
              </w:rPr>
            </w:pPr>
            <w:r>
              <w:rPr>
                <w:rFonts w:hint="eastAsia" w:ascii="宋体" w:hAnsi="宋体" w:cs="宋体"/>
              </w:rPr>
              <w:t>焊接电压/V</w:t>
            </w:r>
          </w:p>
        </w:tc>
        <w:tc>
          <w:tcPr>
            <w:tcW w:w="944" w:type="pct"/>
            <w:vAlign w:val="center"/>
          </w:tcPr>
          <w:p>
            <w:pPr>
              <w:spacing w:line="0" w:lineRule="atLeast"/>
              <w:jc w:val="center"/>
              <w:rPr>
                <w:rFonts w:ascii="宋体" w:hAnsi="宋体" w:cs="宋体"/>
              </w:rPr>
            </w:pPr>
            <w:r>
              <w:rPr>
                <w:rFonts w:hint="eastAsia" w:ascii="宋体" w:hAnsi="宋体" w:cs="宋体"/>
              </w:rPr>
              <w:t>焊接速度/（cm/min）</w:t>
            </w:r>
          </w:p>
        </w:tc>
        <w:tc>
          <w:tcPr>
            <w:tcW w:w="833" w:type="pct"/>
            <w:vAlign w:val="center"/>
          </w:tcPr>
          <w:p>
            <w:pPr>
              <w:spacing w:line="0" w:lineRule="atLeast"/>
              <w:jc w:val="center"/>
              <w:rPr>
                <w:rFonts w:ascii="宋体" w:hAnsi="宋体" w:cs="宋体"/>
              </w:rPr>
            </w:pPr>
            <w:r>
              <w:rPr>
                <w:rFonts w:hint="eastAsia" w:ascii="宋体" w:hAnsi="宋体" w:cs="宋体"/>
              </w:rPr>
              <w:t>焊枪角度/°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8" w:type="pct"/>
            <w:vAlign w:val="center"/>
          </w:tcPr>
          <w:p>
            <w:pPr>
              <w:spacing w:line="0" w:lineRule="atLeast"/>
              <w:jc w:val="center"/>
              <w:rPr>
                <w:rFonts w:ascii="宋体" w:hAnsi="宋体" w:cs="宋体"/>
              </w:rPr>
            </w:pPr>
            <w:r>
              <w:rPr>
                <w:rFonts w:hint="eastAsia" w:ascii="宋体" w:hAnsi="宋体" w:cs="宋体"/>
              </w:rPr>
              <w:t>大角焊缝</w:t>
            </w:r>
          </w:p>
        </w:tc>
        <w:tc>
          <w:tcPr>
            <w:tcW w:w="391" w:type="pct"/>
            <w:vAlign w:val="center"/>
          </w:tcPr>
          <w:p>
            <w:pPr>
              <w:spacing w:line="0" w:lineRule="atLeast"/>
              <w:jc w:val="center"/>
              <w:rPr>
                <w:rFonts w:ascii="宋体" w:hAnsi="宋体" w:cs="宋体"/>
              </w:rPr>
            </w:pPr>
            <w:r>
              <w:rPr>
                <w:rFonts w:hint="eastAsia" w:ascii="宋体" w:hAnsi="宋体" w:cs="宋体"/>
              </w:rPr>
              <w:t>2F</w:t>
            </w:r>
          </w:p>
        </w:tc>
        <w:tc>
          <w:tcPr>
            <w:tcW w:w="550" w:type="pct"/>
            <w:vAlign w:val="center"/>
          </w:tcPr>
          <w:p>
            <w:pPr>
              <w:spacing w:line="0" w:lineRule="atLeast"/>
              <w:jc w:val="center"/>
              <w:rPr>
                <w:rFonts w:ascii="宋体" w:hAnsi="宋体" w:cs="宋体"/>
              </w:rPr>
            </w:pPr>
            <w:r>
              <w:rPr>
                <w:rFonts w:hint="eastAsia" w:ascii="宋体" w:hAnsi="宋体" w:cs="宋体"/>
              </w:rPr>
              <w:t>Ф1.6</w:t>
            </w:r>
          </w:p>
        </w:tc>
        <w:tc>
          <w:tcPr>
            <w:tcW w:w="944" w:type="pct"/>
            <w:vAlign w:val="center"/>
          </w:tcPr>
          <w:p>
            <w:pPr>
              <w:spacing w:line="0" w:lineRule="atLeast"/>
              <w:jc w:val="center"/>
              <w:rPr>
                <w:rFonts w:ascii="宋体" w:hAnsi="宋体" w:cs="宋体"/>
              </w:rPr>
            </w:pPr>
            <w:r>
              <w:rPr>
                <w:rFonts w:hint="eastAsia" w:ascii="宋体" w:hAnsi="宋体" w:cs="宋体"/>
              </w:rPr>
              <w:t>填充：290～330</w:t>
            </w:r>
          </w:p>
          <w:p>
            <w:pPr>
              <w:spacing w:line="0" w:lineRule="atLeast"/>
              <w:jc w:val="center"/>
              <w:rPr>
                <w:rFonts w:ascii="宋体" w:hAnsi="宋体" w:cs="宋体"/>
              </w:rPr>
            </w:pPr>
            <w:r>
              <w:rPr>
                <w:rFonts w:hint="eastAsia" w:ascii="宋体" w:hAnsi="宋体" w:cs="宋体"/>
              </w:rPr>
              <w:t>盖面：280～320</w:t>
            </w:r>
          </w:p>
        </w:tc>
        <w:tc>
          <w:tcPr>
            <w:tcW w:w="865" w:type="pct"/>
            <w:vAlign w:val="center"/>
          </w:tcPr>
          <w:p>
            <w:pPr>
              <w:spacing w:line="0" w:lineRule="atLeast"/>
              <w:jc w:val="center"/>
              <w:rPr>
                <w:rFonts w:ascii="宋体" w:hAnsi="宋体" w:cs="宋体"/>
              </w:rPr>
            </w:pPr>
            <w:r>
              <w:rPr>
                <w:rFonts w:hint="eastAsia" w:ascii="宋体" w:hAnsi="宋体" w:cs="宋体"/>
              </w:rPr>
              <w:t>填充：28～34</w:t>
            </w:r>
          </w:p>
          <w:p>
            <w:pPr>
              <w:spacing w:line="0" w:lineRule="atLeast"/>
              <w:jc w:val="center"/>
              <w:rPr>
                <w:rFonts w:ascii="宋体" w:hAnsi="宋体" w:cs="宋体"/>
              </w:rPr>
            </w:pPr>
            <w:r>
              <w:rPr>
                <w:rFonts w:hint="eastAsia" w:ascii="宋体" w:hAnsi="宋体" w:cs="宋体"/>
              </w:rPr>
              <w:t>盖面：28～34</w:t>
            </w:r>
          </w:p>
        </w:tc>
        <w:tc>
          <w:tcPr>
            <w:tcW w:w="944" w:type="pct"/>
            <w:vAlign w:val="center"/>
          </w:tcPr>
          <w:p>
            <w:pPr>
              <w:spacing w:line="0" w:lineRule="atLeast"/>
              <w:jc w:val="center"/>
              <w:rPr>
                <w:rFonts w:ascii="宋体" w:hAnsi="宋体" w:cs="宋体"/>
              </w:rPr>
            </w:pPr>
            <w:r>
              <w:rPr>
                <w:rFonts w:hint="eastAsia" w:ascii="宋体" w:hAnsi="宋体" w:cs="宋体"/>
              </w:rPr>
              <w:t>填充：18～25</w:t>
            </w:r>
          </w:p>
          <w:p>
            <w:pPr>
              <w:spacing w:line="0" w:lineRule="atLeast"/>
              <w:jc w:val="center"/>
              <w:rPr>
                <w:rFonts w:ascii="宋体" w:hAnsi="宋体" w:cs="宋体"/>
              </w:rPr>
            </w:pPr>
            <w:r>
              <w:rPr>
                <w:rFonts w:hint="eastAsia" w:ascii="宋体" w:hAnsi="宋体" w:cs="宋体"/>
              </w:rPr>
              <w:t>盖面：20～50</w:t>
            </w:r>
          </w:p>
        </w:tc>
        <w:tc>
          <w:tcPr>
            <w:tcW w:w="833" w:type="pct"/>
            <w:vAlign w:val="center"/>
          </w:tcPr>
          <w:p>
            <w:pPr>
              <w:spacing w:line="0" w:lineRule="atLeast"/>
              <w:jc w:val="center"/>
              <w:rPr>
                <w:rFonts w:ascii="宋体" w:hAnsi="宋体" w:cs="宋体"/>
              </w:rPr>
            </w:pPr>
            <w:r>
              <w:rPr>
                <w:rFonts w:hint="eastAsia" w:ascii="宋体" w:hAnsi="宋体" w:cs="宋体"/>
              </w:rPr>
              <w:t>填充：30～40</w:t>
            </w:r>
          </w:p>
          <w:p>
            <w:pPr>
              <w:spacing w:line="0" w:lineRule="atLeast"/>
              <w:jc w:val="center"/>
              <w:rPr>
                <w:rFonts w:ascii="宋体" w:hAnsi="宋体" w:cs="宋体"/>
              </w:rPr>
            </w:pPr>
            <w:r>
              <w:rPr>
                <w:rFonts w:hint="eastAsia" w:ascii="宋体" w:hAnsi="宋体" w:cs="宋体"/>
              </w:rPr>
              <w:t>盖面：30～40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vAlign w:val="center"/>
          </w:tcPr>
          <w:p>
            <w:pPr>
              <w:spacing w:line="0" w:lineRule="atLeast"/>
              <w:jc w:val="center"/>
              <w:rPr>
                <w:rFonts w:ascii="宋体" w:hAnsi="宋体" w:cs="宋体"/>
              </w:rPr>
            </w:pPr>
            <w:r>
              <w:rPr>
                <w:rFonts w:hint="eastAsia" w:ascii="宋体" w:hAnsi="宋体" w:cs="宋体"/>
              </w:rPr>
              <w:t>大角焊缝</w:t>
            </w:r>
          </w:p>
        </w:tc>
        <w:tc>
          <w:tcPr>
            <w:tcW w:w="391" w:type="pct"/>
            <w:vAlign w:val="center"/>
          </w:tcPr>
          <w:p>
            <w:pPr>
              <w:spacing w:line="0" w:lineRule="atLeast"/>
              <w:jc w:val="center"/>
              <w:rPr>
                <w:rFonts w:ascii="宋体" w:hAnsi="宋体" w:cs="宋体"/>
              </w:rPr>
            </w:pPr>
            <w:r>
              <w:rPr>
                <w:rFonts w:hint="eastAsia" w:ascii="宋体" w:hAnsi="宋体" w:cs="宋体"/>
              </w:rPr>
              <w:t>2F</w:t>
            </w:r>
          </w:p>
        </w:tc>
        <w:tc>
          <w:tcPr>
            <w:tcW w:w="550" w:type="pct"/>
            <w:vAlign w:val="center"/>
          </w:tcPr>
          <w:p>
            <w:pPr>
              <w:spacing w:line="0" w:lineRule="atLeast"/>
              <w:jc w:val="center"/>
              <w:rPr>
                <w:rFonts w:ascii="宋体" w:hAnsi="宋体" w:cs="宋体"/>
              </w:rPr>
            </w:pPr>
            <w:r>
              <w:rPr>
                <w:rFonts w:hint="eastAsia" w:ascii="宋体" w:hAnsi="宋体" w:cs="宋体"/>
              </w:rPr>
              <w:t>Ф2.4</w:t>
            </w:r>
          </w:p>
        </w:tc>
        <w:tc>
          <w:tcPr>
            <w:tcW w:w="944" w:type="pct"/>
            <w:vAlign w:val="center"/>
          </w:tcPr>
          <w:p>
            <w:pPr>
              <w:spacing w:line="0" w:lineRule="atLeast"/>
              <w:jc w:val="center"/>
              <w:rPr>
                <w:rFonts w:ascii="宋体" w:hAnsi="宋体" w:cs="宋体"/>
              </w:rPr>
            </w:pPr>
            <w:r>
              <w:rPr>
                <w:rFonts w:hint="eastAsia" w:ascii="宋体" w:hAnsi="宋体" w:cs="宋体"/>
              </w:rPr>
              <w:t>填充：320～360</w:t>
            </w:r>
          </w:p>
          <w:p>
            <w:pPr>
              <w:spacing w:line="0" w:lineRule="atLeast"/>
              <w:jc w:val="center"/>
              <w:rPr>
                <w:rFonts w:ascii="宋体" w:hAnsi="宋体" w:cs="宋体"/>
              </w:rPr>
            </w:pPr>
            <w:r>
              <w:rPr>
                <w:rFonts w:hint="eastAsia" w:ascii="宋体" w:hAnsi="宋体" w:cs="宋体"/>
              </w:rPr>
              <w:t>盖面：320～360</w:t>
            </w:r>
          </w:p>
        </w:tc>
        <w:tc>
          <w:tcPr>
            <w:tcW w:w="865" w:type="pct"/>
            <w:vAlign w:val="center"/>
          </w:tcPr>
          <w:p>
            <w:pPr>
              <w:spacing w:line="0" w:lineRule="atLeast"/>
              <w:jc w:val="center"/>
              <w:rPr>
                <w:rFonts w:ascii="宋体" w:hAnsi="宋体" w:cs="宋体"/>
              </w:rPr>
            </w:pPr>
            <w:r>
              <w:rPr>
                <w:rFonts w:hint="eastAsia" w:ascii="宋体" w:hAnsi="宋体" w:cs="宋体"/>
              </w:rPr>
              <w:t>填充：30～36</w:t>
            </w:r>
          </w:p>
          <w:p>
            <w:pPr>
              <w:spacing w:line="0" w:lineRule="atLeast"/>
              <w:jc w:val="center"/>
              <w:rPr>
                <w:rFonts w:ascii="宋体" w:hAnsi="宋体" w:cs="宋体"/>
              </w:rPr>
            </w:pPr>
            <w:r>
              <w:rPr>
                <w:rFonts w:hint="eastAsia" w:ascii="宋体" w:hAnsi="宋体" w:cs="宋体"/>
              </w:rPr>
              <w:t>盖面：30～36</w:t>
            </w:r>
          </w:p>
        </w:tc>
        <w:tc>
          <w:tcPr>
            <w:tcW w:w="944" w:type="pct"/>
            <w:vAlign w:val="center"/>
          </w:tcPr>
          <w:p>
            <w:pPr>
              <w:spacing w:line="0" w:lineRule="atLeast"/>
              <w:jc w:val="center"/>
              <w:rPr>
                <w:rFonts w:ascii="宋体" w:hAnsi="宋体" w:cs="宋体"/>
              </w:rPr>
            </w:pPr>
            <w:r>
              <w:rPr>
                <w:rFonts w:hint="eastAsia" w:ascii="宋体" w:hAnsi="宋体" w:cs="宋体"/>
              </w:rPr>
              <w:t>填充：24～30</w:t>
            </w:r>
          </w:p>
          <w:p>
            <w:pPr>
              <w:spacing w:line="0" w:lineRule="atLeast"/>
              <w:jc w:val="center"/>
              <w:rPr>
                <w:rFonts w:ascii="宋体" w:hAnsi="宋体" w:cs="宋体"/>
              </w:rPr>
            </w:pPr>
            <w:r>
              <w:rPr>
                <w:rFonts w:hint="eastAsia" w:ascii="宋体" w:hAnsi="宋体" w:cs="宋体"/>
              </w:rPr>
              <w:t>盖面：28～40</w:t>
            </w:r>
          </w:p>
        </w:tc>
        <w:tc>
          <w:tcPr>
            <w:tcW w:w="833" w:type="pct"/>
            <w:vAlign w:val="center"/>
          </w:tcPr>
          <w:p>
            <w:pPr>
              <w:spacing w:line="0" w:lineRule="atLeast"/>
              <w:jc w:val="center"/>
              <w:rPr>
                <w:rFonts w:ascii="宋体" w:hAnsi="宋体" w:cs="宋体"/>
              </w:rPr>
            </w:pPr>
            <w:r>
              <w:rPr>
                <w:rFonts w:hint="eastAsia" w:ascii="宋体" w:hAnsi="宋体" w:cs="宋体"/>
              </w:rPr>
              <w:t>填充：30～40</w:t>
            </w:r>
          </w:p>
          <w:p>
            <w:pPr>
              <w:spacing w:line="0" w:lineRule="atLeast"/>
              <w:jc w:val="center"/>
              <w:rPr>
                <w:rFonts w:ascii="宋体" w:hAnsi="宋体" w:cs="宋体"/>
              </w:rPr>
            </w:pPr>
            <w:r>
              <w:rPr>
                <w:rFonts w:hint="eastAsia" w:ascii="宋体" w:hAnsi="宋体" w:cs="宋体"/>
              </w:rPr>
              <w:t>盖面：30～40</w:t>
            </w:r>
          </w:p>
        </w:tc>
      </w:tr>
    </w:tbl>
    <w:p>
      <w:pPr>
        <w:spacing w:line="360" w:lineRule="auto"/>
        <w:jc w:val="center"/>
        <w:rPr>
          <w:rFonts w:asciiTheme="minorEastAsia" w:hAnsiTheme="minorEastAsia"/>
        </w:rPr>
      </w:pPr>
    </w:p>
    <w:p>
      <w:pPr>
        <w:spacing w:line="360" w:lineRule="auto"/>
        <w:rPr>
          <w:rFonts w:asciiTheme="minorEastAsia" w:hAnsiTheme="minorEastAsia"/>
        </w:rPr>
      </w:pPr>
      <w:r>
        <w:rPr>
          <w:rFonts w:hint="eastAsia" w:asciiTheme="minorEastAsia" w:hAnsiTheme="minorEastAsia"/>
        </w:rPr>
        <w:t>8.7.3 大角焊缝焊接时使用的平角埋弧焊机，其焊枪角度调节范围应符合焊接工艺的要求。</w:t>
      </w:r>
    </w:p>
    <w:p>
      <w:pPr>
        <w:spacing w:line="360" w:lineRule="auto"/>
        <w:rPr>
          <w:rFonts w:asciiTheme="minorEastAsia" w:hAnsiTheme="minorEastAsia"/>
        </w:rPr>
      </w:pPr>
      <w:r>
        <w:rPr>
          <w:rFonts w:hint="eastAsia" w:asciiTheme="minorEastAsia" w:hAnsiTheme="minorEastAsia"/>
        </w:rPr>
        <w:t>8.7.4 大角焊缝组对定位焊长度宜为100</w:t>
      </w:r>
      <w:r>
        <w:rPr>
          <w:rFonts w:hint="eastAsia" w:ascii="宋体" w:hAnsi="宋体" w:cs="宋体"/>
        </w:rPr>
        <w:t>～</w:t>
      </w:r>
      <w:r>
        <w:rPr>
          <w:rFonts w:hint="eastAsia" w:asciiTheme="minorEastAsia" w:hAnsiTheme="minorEastAsia"/>
        </w:rPr>
        <w:t>150mm，两定位焊之间间距宜为100</w:t>
      </w:r>
      <w:r>
        <w:rPr>
          <w:rFonts w:hint="eastAsia" w:ascii="宋体" w:hAnsi="宋体" w:cs="宋体"/>
        </w:rPr>
        <w:t>～</w:t>
      </w:r>
      <w:r>
        <w:rPr>
          <w:rFonts w:hint="eastAsia" w:asciiTheme="minorEastAsia" w:hAnsiTheme="minorEastAsia"/>
        </w:rPr>
        <w:t>150mm。</w:t>
      </w:r>
    </w:p>
    <w:p>
      <w:pPr>
        <w:spacing w:line="360" w:lineRule="auto"/>
        <w:rPr>
          <w:rFonts w:asciiTheme="minorEastAsia" w:hAnsiTheme="minorEastAsia"/>
        </w:rPr>
      </w:pPr>
      <w:r>
        <w:rPr>
          <w:rFonts w:hint="eastAsia" w:asciiTheme="minorEastAsia" w:hAnsiTheme="minorEastAsia"/>
        </w:rPr>
        <w:t>8.7.5 大角焊缝反变形工装，应与壁板和底板垂直安装，且两相邻工装的间距不应大于2m。</w:t>
      </w:r>
    </w:p>
    <w:p>
      <w:pPr>
        <w:spacing w:line="360" w:lineRule="auto"/>
        <w:rPr>
          <w:rFonts w:asciiTheme="minorEastAsia" w:hAnsiTheme="minorEastAsia"/>
        </w:rPr>
      </w:pPr>
      <w:r>
        <w:rPr>
          <w:rFonts w:hint="eastAsia" w:asciiTheme="minorEastAsia" w:hAnsiTheme="minorEastAsia"/>
        </w:rPr>
        <w:t>8.7.6 焊接时焊枪角度宜为35～45°，焊丝干伸长度宜为30～40mm，焊剂应完全覆盖焊接区域，堆高宜为30～40mm，焊丝应始终对准上一道焊道的熔合线位置，其余焊接工艺参数应符合焊接工艺规程的要求。</w:t>
      </w:r>
    </w:p>
    <w:p>
      <w:pPr>
        <w:spacing w:line="360" w:lineRule="auto"/>
        <w:rPr>
          <w:rFonts w:asciiTheme="minorEastAsia" w:hAnsiTheme="minorEastAsia"/>
        </w:rPr>
      </w:pPr>
      <w:r>
        <w:rPr>
          <w:rFonts w:hint="eastAsia" w:asciiTheme="minorEastAsia" w:hAnsiTheme="minorEastAsia"/>
        </w:rPr>
        <w:t>8.7.7 大角缝背面清根时，应采用不锈钢砂轮片清理，并修磨至合适的宽度、深度，保证后续焊接熔透。</w:t>
      </w:r>
    </w:p>
    <w:p>
      <w:pPr>
        <w:pStyle w:val="3"/>
        <w:spacing w:line="360" w:lineRule="auto"/>
        <w:rPr>
          <w:rFonts w:ascii="Times New Roman" w:hAnsi="Times New Roman" w:cs="Times New Roman"/>
        </w:rPr>
      </w:pPr>
      <w:bookmarkStart w:id="38" w:name="_Toc159410681"/>
      <w:r>
        <w:rPr>
          <w:rFonts w:hint="eastAsia" w:ascii="Times New Roman" w:hAnsi="Times New Roman" w:cs="Times New Roman"/>
        </w:rPr>
        <w:t>8.8  加强圈预制角焊缝</w:t>
      </w:r>
      <w:bookmarkEnd w:id="38"/>
    </w:p>
    <w:p>
      <w:pPr>
        <w:pStyle w:val="4"/>
        <w:spacing w:line="360" w:lineRule="auto"/>
        <w:ind w:firstLine="0" w:firstLineChars="0"/>
      </w:pPr>
      <w:r>
        <w:rPr>
          <w:rFonts w:hint="eastAsia"/>
        </w:rPr>
        <w:t>8.8.1 加强圈预制角焊缝采用埋弧打底、填充、盖面。</w:t>
      </w:r>
    </w:p>
    <w:p>
      <w:pPr>
        <w:pStyle w:val="4"/>
        <w:spacing w:line="360" w:lineRule="auto"/>
        <w:ind w:firstLine="0" w:firstLineChars="0"/>
      </w:pPr>
      <w:r>
        <w:rPr>
          <w:rFonts w:hint="eastAsia"/>
        </w:rPr>
        <w:t>8.8.2 角焊缝推荐的坡口尺寸见图8.8.2，推荐的埋弧焊接工艺参数见表8.8.2。</w:t>
      </w:r>
    </w:p>
    <w:p>
      <w:pPr>
        <w:pStyle w:val="89"/>
        <w:jc w:val="center"/>
        <w:outlineLvl w:val="9"/>
      </w:pPr>
      <w:bookmarkStart w:id="39" w:name="_Toc6370"/>
      <w:bookmarkStart w:id="40" w:name="_Toc8310"/>
      <w:bookmarkStart w:id="41" w:name="_Toc12995"/>
      <w:bookmarkStart w:id="42" w:name="_Toc32717"/>
      <w:r>
        <w:rPr>
          <w:rFonts w:hint="eastAsia"/>
        </w:rPr>
        <w:object>
          <v:shape id="_x0000_i1029" o:spt="75" type="#_x0000_t75" style="height:113.25pt;width:207pt;" o:ole="t" filled="f" o:preferrelative="t" stroked="f" coordsize="21600,21600">
            <v:path/>
            <v:fill on="f" focussize="0,0"/>
            <v:stroke on="f" joinstyle="miter"/>
            <v:imagedata r:id="rId8" cropleft="30693f" croptop="20064f" cropright="31224f" cropbottom="33864f" o:title=""/>
            <o:lock v:ext="edit" aspectratio="t"/>
            <w10:wrap type="none"/>
            <w10:anchorlock/>
          </v:shape>
          <o:OLEObject Type="Embed" ProgID="AutoCAD.Drawing.24" ShapeID="_x0000_i1029" DrawAspect="Content" ObjectID="_1468075729" r:id="rId12">
            <o:LockedField>false</o:LockedField>
          </o:OLEObject>
        </w:object>
      </w:r>
      <w:bookmarkEnd w:id="39"/>
      <w:bookmarkEnd w:id="40"/>
      <w:bookmarkEnd w:id="41"/>
      <w:bookmarkEnd w:id="42"/>
    </w:p>
    <w:p>
      <w:pPr>
        <w:pStyle w:val="4"/>
        <w:spacing w:line="360" w:lineRule="auto"/>
        <w:ind w:firstLine="0" w:firstLineChars="0"/>
        <w:jc w:val="center"/>
      </w:pPr>
      <w:r>
        <w:rPr>
          <w:rFonts w:hint="eastAsia"/>
        </w:rPr>
        <w:t>图8.8.2  推荐的加强圈预制角焊缝坡口</w:t>
      </w:r>
    </w:p>
    <w:p>
      <w:pPr>
        <w:spacing w:line="360" w:lineRule="auto"/>
        <w:jc w:val="center"/>
        <w:rPr>
          <w:rFonts w:ascii="黑体" w:hAnsi="黑体" w:eastAsia="黑体"/>
        </w:rPr>
      </w:pPr>
    </w:p>
    <w:p>
      <w:pPr>
        <w:spacing w:line="360" w:lineRule="auto"/>
        <w:jc w:val="center"/>
        <w:rPr>
          <w:rFonts w:ascii="宋体" w:hAnsi="宋体" w:cs="宋体"/>
        </w:rPr>
      </w:pPr>
      <w:r>
        <w:rPr>
          <w:rFonts w:hint="eastAsia" w:ascii="宋体" w:hAnsi="宋体" w:cs="宋体"/>
        </w:rPr>
        <w:t>表8.8.2  推荐的加强圈预制角焊缝焊接工艺参数</w:t>
      </w:r>
    </w:p>
    <w:tbl>
      <w:tblPr>
        <w:tblStyle w:val="3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724"/>
        <w:gridCol w:w="1016"/>
        <w:gridCol w:w="1744"/>
        <w:gridCol w:w="1598"/>
        <w:gridCol w:w="1745"/>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vAlign w:val="center"/>
          </w:tcPr>
          <w:p>
            <w:pPr>
              <w:spacing w:line="0" w:lineRule="atLeast"/>
              <w:jc w:val="center"/>
              <w:rPr>
                <w:rFonts w:ascii="宋体" w:hAnsi="宋体" w:cs="宋体"/>
              </w:rPr>
            </w:pPr>
            <w:r>
              <w:rPr>
                <w:rFonts w:hint="eastAsia" w:ascii="宋体" w:hAnsi="宋体" w:cs="宋体"/>
              </w:rPr>
              <w:t>焊接部位</w:t>
            </w:r>
          </w:p>
        </w:tc>
        <w:tc>
          <w:tcPr>
            <w:tcW w:w="392" w:type="pct"/>
            <w:vAlign w:val="center"/>
          </w:tcPr>
          <w:p>
            <w:pPr>
              <w:spacing w:line="0" w:lineRule="atLeast"/>
              <w:jc w:val="center"/>
              <w:rPr>
                <w:rFonts w:ascii="宋体" w:hAnsi="宋体" w:cs="宋体"/>
              </w:rPr>
            </w:pPr>
            <w:r>
              <w:rPr>
                <w:rFonts w:hint="eastAsia" w:ascii="宋体" w:hAnsi="宋体" w:cs="宋体"/>
              </w:rPr>
              <w:t>焊接位置</w:t>
            </w:r>
          </w:p>
        </w:tc>
        <w:tc>
          <w:tcPr>
            <w:tcW w:w="550" w:type="pct"/>
            <w:vAlign w:val="center"/>
          </w:tcPr>
          <w:p>
            <w:pPr>
              <w:spacing w:line="0" w:lineRule="atLeast"/>
              <w:jc w:val="center"/>
              <w:rPr>
                <w:rFonts w:ascii="宋体" w:hAnsi="宋体" w:cs="宋体"/>
              </w:rPr>
            </w:pPr>
            <w:r>
              <w:rPr>
                <w:rFonts w:hint="eastAsia" w:ascii="宋体" w:hAnsi="宋体" w:cs="宋体"/>
              </w:rPr>
              <w:t>焊丝直径/mm</w:t>
            </w:r>
          </w:p>
        </w:tc>
        <w:tc>
          <w:tcPr>
            <w:tcW w:w="944" w:type="pct"/>
            <w:vAlign w:val="center"/>
          </w:tcPr>
          <w:p>
            <w:pPr>
              <w:spacing w:line="0" w:lineRule="atLeast"/>
              <w:jc w:val="center"/>
              <w:rPr>
                <w:rFonts w:ascii="宋体" w:hAnsi="宋体" w:cs="宋体"/>
              </w:rPr>
            </w:pPr>
            <w:r>
              <w:rPr>
                <w:rFonts w:hint="eastAsia" w:ascii="宋体" w:hAnsi="宋体" w:cs="宋体"/>
              </w:rPr>
              <w:t>焊接电流/A</w:t>
            </w:r>
          </w:p>
        </w:tc>
        <w:tc>
          <w:tcPr>
            <w:tcW w:w="865" w:type="pct"/>
            <w:vAlign w:val="center"/>
          </w:tcPr>
          <w:p>
            <w:pPr>
              <w:spacing w:line="0" w:lineRule="atLeast"/>
              <w:jc w:val="center"/>
              <w:rPr>
                <w:rFonts w:ascii="宋体" w:hAnsi="宋体" w:cs="宋体"/>
              </w:rPr>
            </w:pPr>
            <w:r>
              <w:rPr>
                <w:rFonts w:hint="eastAsia" w:ascii="宋体" w:hAnsi="宋体" w:cs="宋体"/>
              </w:rPr>
              <w:t>焊接电压/V</w:t>
            </w:r>
          </w:p>
        </w:tc>
        <w:tc>
          <w:tcPr>
            <w:tcW w:w="944" w:type="pct"/>
            <w:vAlign w:val="center"/>
          </w:tcPr>
          <w:p>
            <w:pPr>
              <w:spacing w:line="0" w:lineRule="atLeast"/>
              <w:jc w:val="center"/>
              <w:rPr>
                <w:rFonts w:ascii="宋体" w:hAnsi="宋体" w:cs="宋体"/>
              </w:rPr>
            </w:pPr>
            <w:r>
              <w:rPr>
                <w:rFonts w:hint="eastAsia" w:ascii="宋体" w:hAnsi="宋体" w:cs="宋体"/>
              </w:rPr>
              <w:t>焊接速度/（cm/min）</w:t>
            </w:r>
          </w:p>
        </w:tc>
        <w:tc>
          <w:tcPr>
            <w:tcW w:w="833" w:type="pct"/>
            <w:vAlign w:val="center"/>
          </w:tcPr>
          <w:p>
            <w:pPr>
              <w:spacing w:line="0" w:lineRule="atLeast"/>
              <w:jc w:val="center"/>
              <w:rPr>
                <w:rFonts w:ascii="宋体" w:hAnsi="宋体" w:cs="宋体"/>
              </w:rPr>
            </w:pPr>
            <w:r>
              <w:rPr>
                <w:rFonts w:hint="eastAsia" w:ascii="宋体" w:hAnsi="宋体" w:cs="宋体"/>
              </w:rPr>
              <w:t>焊枪角度/°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vAlign w:val="center"/>
          </w:tcPr>
          <w:p>
            <w:pPr>
              <w:spacing w:line="0" w:lineRule="atLeast"/>
              <w:jc w:val="center"/>
              <w:rPr>
                <w:rFonts w:ascii="宋体" w:hAnsi="宋体" w:cs="宋体"/>
              </w:rPr>
            </w:pPr>
            <w:r>
              <w:rPr>
                <w:rFonts w:hint="eastAsia" w:ascii="宋体" w:hAnsi="宋体" w:cs="宋体"/>
              </w:rPr>
              <w:t>加强圈角焊缝</w:t>
            </w:r>
          </w:p>
        </w:tc>
        <w:tc>
          <w:tcPr>
            <w:tcW w:w="392" w:type="pct"/>
            <w:vAlign w:val="center"/>
          </w:tcPr>
          <w:p>
            <w:pPr>
              <w:spacing w:line="0" w:lineRule="atLeast"/>
              <w:jc w:val="center"/>
              <w:rPr>
                <w:rFonts w:ascii="宋体" w:hAnsi="宋体" w:cs="宋体"/>
              </w:rPr>
            </w:pPr>
            <w:r>
              <w:rPr>
                <w:rFonts w:hint="eastAsia" w:ascii="宋体" w:hAnsi="宋体" w:cs="宋体"/>
              </w:rPr>
              <w:t>2F</w:t>
            </w:r>
          </w:p>
        </w:tc>
        <w:tc>
          <w:tcPr>
            <w:tcW w:w="550" w:type="pct"/>
            <w:vAlign w:val="center"/>
          </w:tcPr>
          <w:p>
            <w:pPr>
              <w:spacing w:line="0" w:lineRule="atLeast"/>
              <w:jc w:val="center"/>
              <w:rPr>
                <w:rFonts w:ascii="宋体" w:hAnsi="宋体" w:cs="宋体"/>
              </w:rPr>
            </w:pPr>
            <w:r>
              <w:rPr>
                <w:rFonts w:hint="eastAsia" w:ascii="宋体" w:hAnsi="宋体" w:cs="宋体"/>
              </w:rPr>
              <w:t>Ф1.6</w:t>
            </w:r>
          </w:p>
        </w:tc>
        <w:tc>
          <w:tcPr>
            <w:tcW w:w="944" w:type="pct"/>
            <w:vAlign w:val="center"/>
          </w:tcPr>
          <w:p>
            <w:pPr>
              <w:spacing w:line="0" w:lineRule="atLeast"/>
              <w:jc w:val="center"/>
              <w:rPr>
                <w:rFonts w:ascii="宋体" w:hAnsi="宋体" w:cs="宋体"/>
              </w:rPr>
            </w:pPr>
            <w:r>
              <w:rPr>
                <w:rFonts w:hint="eastAsia" w:ascii="宋体" w:hAnsi="宋体" w:cs="宋体"/>
              </w:rPr>
              <w:t>打底：300～320</w:t>
            </w:r>
          </w:p>
          <w:p>
            <w:pPr>
              <w:spacing w:line="0" w:lineRule="atLeast"/>
              <w:jc w:val="center"/>
              <w:rPr>
                <w:rFonts w:ascii="宋体" w:hAnsi="宋体" w:cs="宋体"/>
              </w:rPr>
            </w:pPr>
            <w:r>
              <w:rPr>
                <w:rFonts w:hint="eastAsia" w:ascii="宋体" w:hAnsi="宋体" w:cs="宋体"/>
              </w:rPr>
              <w:t>填充：290～330</w:t>
            </w:r>
          </w:p>
          <w:p>
            <w:pPr>
              <w:spacing w:line="0" w:lineRule="atLeast"/>
              <w:jc w:val="center"/>
              <w:rPr>
                <w:rFonts w:ascii="宋体" w:hAnsi="宋体" w:cs="宋体"/>
              </w:rPr>
            </w:pPr>
            <w:r>
              <w:rPr>
                <w:rFonts w:hint="eastAsia" w:ascii="宋体" w:hAnsi="宋体" w:cs="宋体"/>
              </w:rPr>
              <w:t>盖面：280～320</w:t>
            </w:r>
          </w:p>
        </w:tc>
        <w:tc>
          <w:tcPr>
            <w:tcW w:w="865" w:type="pct"/>
            <w:vAlign w:val="center"/>
          </w:tcPr>
          <w:p>
            <w:pPr>
              <w:spacing w:line="0" w:lineRule="atLeast"/>
              <w:jc w:val="center"/>
              <w:rPr>
                <w:rFonts w:ascii="宋体" w:hAnsi="宋体" w:cs="宋体"/>
              </w:rPr>
            </w:pPr>
            <w:r>
              <w:rPr>
                <w:rFonts w:hint="eastAsia" w:ascii="宋体" w:hAnsi="宋体" w:cs="宋体"/>
              </w:rPr>
              <w:t>打底：28～34</w:t>
            </w:r>
          </w:p>
          <w:p>
            <w:pPr>
              <w:spacing w:line="0" w:lineRule="atLeast"/>
              <w:jc w:val="center"/>
              <w:rPr>
                <w:rFonts w:ascii="宋体" w:hAnsi="宋体" w:cs="宋体"/>
              </w:rPr>
            </w:pPr>
            <w:r>
              <w:rPr>
                <w:rFonts w:hint="eastAsia" w:ascii="宋体" w:hAnsi="宋体" w:cs="宋体"/>
              </w:rPr>
              <w:t>填充：28～34</w:t>
            </w:r>
          </w:p>
          <w:p>
            <w:pPr>
              <w:spacing w:line="0" w:lineRule="atLeast"/>
              <w:jc w:val="center"/>
              <w:rPr>
                <w:rFonts w:ascii="宋体" w:hAnsi="宋体" w:cs="宋体"/>
              </w:rPr>
            </w:pPr>
            <w:r>
              <w:rPr>
                <w:rFonts w:hint="eastAsia" w:ascii="宋体" w:hAnsi="宋体" w:cs="宋体"/>
              </w:rPr>
              <w:t>盖面：28～34</w:t>
            </w:r>
          </w:p>
        </w:tc>
        <w:tc>
          <w:tcPr>
            <w:tcW w:w="944" w:type="pct"/>
            <w:vAlign w:val="center"/>
          </w:tcPr>
          <w:p>
            <w:pPr>
              <w:spacing w:line="0" w:lineRule="atLeast"/>
              <w:jc w:val="center"/>
              <w:rPr>
                <w:rFonts w:ascii="宋体" w:hAnsi="宋体" w:cs="宋体"/>
              </w:rPr>
            </w:pPr>
            <w:r>
              <w:rPr>
                <w:rFonts w:hint="eastAsia" w:ascii="宋体" w:hAnsi="宋体" w:cs="宋体"/>
              </w:rPr>
              <w:t>打底：22～40</w:t>
            </w:r>
          </w:p>
          <w:p>
            <w:pPr>
              <w:spacing w:line="0" w:lineRule="atLeast"/>
              <w:jc w:val="center"/>
              <w:rPr>
                <w:rFonts w:ascii="宋体" w:hAnsi="宋体" w:cs="宋体"/>
              </w:rPr>
            </w:pPr>
            <w:r>
              <w:rPr>
                <w:rFonts w:hint="eastAsia" w:ascii="宋体" w:hAnsi="宋体" w:cs="宋体"/>
              </w:rPr>
              <w:t>填充：18～25</w:t>
            </w:r>
          </w:p>
          <w:p>
            <w:pPr>
              <w:spacing w:line="0" w:lineRule="atLeast"/>
              <w:jc w:val="center"/>
              <w:rPr>
                <w:rFonts w:ascii="宋体" w:hAnsi="宋体" w:cs="宋体"/>
              </w:rPr>
            </w:pPr>
            <w:r>
              <w:rPr>
                <w:rFonts w:hint="eastAsia" w:ascii="宋体" w:hAnsi="宋体" w:cs="宋体"/>
              </w:rPr>
              <w:t>盖面：20～50</w:t>
            </w:r>
          </w:p>
        </w:tc>
        <w:tc>
          <w:tcPr>
            <w:tcW w:w="833" w:type="pct"/>
            <w:vAlign w:val="center"/>
          </w:tcPr>
          <w:p>
            <w:pPr>
              <w:spacing w:line="0" w:lineRule="atLeast"/>
              <w:jc w:val="center"/>
              <w:rPr>
                <w:rFonts w:ascii="宋体" w:hAnsi="宋体" w:cs="宋体"/>
              </w:rPr>
            </w:pPr>
            <w:r>
              <w:rPr>
                <w:rFonts w:hint="eastAsia" w:ascii="宋体" w:hAnsi="宋体" w:cs="宋体"/>
              </w:rPr>
              <w:t>打底：40～50</w:t>
            </w:r>
          </w:p>
          <w:p>
            <w:pPr>
              <w:spacing w:line="0" w:lineRule="atLeast"/>
              <w:jc w:val="center"/>
              <w:rPr>
                <w:rFonts w:ascii="宋体" w:hAnsi="宋体" w:cs="宋体"/>
              </w:rPr>
            </w:pPr>
            <w:r>
              <w:rPr>
                <w:rFonts w:hint="eastAsia" w:ascii="宋体" w:hAnsi="宋体" w:cs="宋体"/>
              </w:rPr>
              <w:t>填充：40～50</w:t>
            </w:r>
          </w:p>
          <w:p>
            <w:pPr>
              <w:spacing w:line="0" w:lineRule="atLeast"/>
              <w:jc w:val="center"/>
              <w:rPr>
                <w:rFonts w:ascii="宋体" w:hAnsi="宋体" w:cs="宋体"/>
              </w:rPr>
            </w:pPr>
            <w:r>
              <w:rPr>
                <w:rFonts w:hint="eastAsia" w:ascii="宋体" w:hAnsi="宋体" w:cs="宋体"/>
              </w:rPr>
              <w:t>盖面：40～50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pct"/>
            <w:vAlign w:val="center"/>
          </w:tcPr>
          <w:p>
            <w:pPr>
              <w:spacing w:line="0" w:lineRule="atLeast"/>
              <w:jc w:val="center"/>
              <w:rPr>
                <w:rFonts w:ascii="宋体" w:hAnsi="宋体" w:cs="宋体"/>
              </w:rPr>
            </w:pPr>
            <w:r>
              <w:rPr>
                <w:rFonts w:hint="eastAsia" w:ascii="宋体" w:hAnsi="宋体" w:cs="宋体"/>
              </w:rPr>
              <w:t>加强圈角焊缝</w:t>
            </w:r>
          </w:p>
        </w:tc>
        <w:tc>
          <w:tcPr>
            <w:tcW w:w="392" w:type="pct"/>
            <w:vAlign w:val="center"/>
          </w:tcPr>
          <w:p>
            <w:pPr>
              <w:spacing w:line="0" w:lineRule="atLeast"/>
              <w:jc w:val="center"/>
              <w:rPr>
                <w:rFonts w:ascii="宋体" w:hAnsi="宋体" w:cs="宋体"/>
              </w:rPr>
            </w:pPr>
            <w:r>
              <w:rPr>
                <w:rFonts w:hint="eastAsia" w:ascii="宋体" w:hAnsi="宋体" w:cs="宋体"/>
              </w:rPr>
              <w:t>2F</w:t>
            </w:r>
          </w:p>
        </w:tc>
        <w:tc>
          <w:tcPr>
            <w:tcW w:w="550" w:type="pct"/>
            <w:vAlign w:val="center"/>
          </w:tcPr>
          <w:p>
            <w:pPr>
              <w:spacing w:line="0" w:lineRule="atLeast"/>
              <w:jc w:val="center"/>
              <w:rPr>
                <w:rFonts w:ascii="宋体" w:hAnsi="宋体" w:cs="宋体"/>
              </w:rPr>
            </w:pPr>
            <w:r>
              <w:rPr>
                <w:rFonts w:hint="eastAsia" w:ascii="宋体" w:hAnsi="宋体" w:cs="宋体"/>
              </w:rPr>
              <w:t>Ф2.4</w:t>
            </w:r>
          </w:p>
        </w:tc>
        <w:tc>
          <w:tcPr>
            <w:tcW w:w="944" w:type="pct"/>
            <w:vAlign w:val="center"/>
          </w:tcPr>
          <w:p>
            <w:pPr>
              <w:spacing w:line="0" w:lineRule="atLeast"/>
              <w:jc w:val="center"/>
              <w:rPr>
                <w:rFonts w:ascii="宋体" w:hAnsi="宋体" w:cs="宋体"/>
              </w:rPr>
            </w:pPr>
            <w:r>
              <w:rPr>
                <w:rFonts w:hint="eastAsia" w:ascii="宋体" w:hAnsi="宋体" w:cs="宋体"/>
              </w:rPr>
              <w:t>打底：340～360</w:t>
            </w:r>
          </w:p>
          <w:p>
            <w:pPr>
              <w:spacing w:line="0" w:lineRule="atLeast"/>
              <w:jc w:val="center"/>
              <w:rPr>
                <w:rFonts w:ascii="宋体" w:hAnsi="宋体" w:cs="宋体"/>
              </w:rPr>
            </w:pPr>
            <w:r>
              <w:rPr>
                <w:rFonts w:hint="eastAsia" w:ascii="宋体" w:hAnsi="宋体" w:cs="宋体"/>
              </w:rPr>
              <w:t>填充：320～360</w:t>
            </w:r>
          </w:p>
          <w:p>
            <w:pPr>
              <w:spacing w:line="0" w:lineRule="atLeast"/>
              <w:jc w:val="center"/>
              <w:rPr>
                <w:rFonts w:ascii="宋体" w:hAnsi="宋体" w:cs="宋体"/>
              </w:rPr>
            </w:pPr>
            <w:r>
              <w:rPr>
                <w:rFonts w:hint="eastAsia" w:ascii="宋体" w:hAnsi="宋体" w:cs="宋体"/>
              </w:rPr>
              <w:t>盖面：320～360</w:t>
            </w:r>
          </w:p>
        </w:tc>
        <w:tc>
          <w:tcPr>
            <w:tcW w:w="865" w:type="pct"/>
            <w:vAlign w:val="center"/>
          </w:tcPr>
          <w:p>
            <w:pPr>
              <w:spacing w:line="0" w:lineRule="atLeast"/>
              <w:jc w:val="center"/>
              <w:rPr>
                <w:rFonts w:ascii="宋体" w:hAnsi="宋体" w:cs="宋体"/>
              </w:rPr>
            </w:pPr>
            <w:r>
              <w:rPr>
                <w:rFonts w:hint="eastAsia" w:ascii="宋体" w:hAnsi="宋体" w:cs="宋体"/>
              </w:rPr>
              <w:t>打底：30～36</w:t>
            </w:r>
          </w:p>
          <w:p>
            <w:pPr>
              <w:spacing w:line="0" w:lineRule="atLeast"/>
              <w:jc w:val="center"/>
              <w:rPr>
                <w:rFonts w:ascii="宋体" w:hAnsi="宋体" w:cs="宋体"/>
              </w:rPr>
            </w:pPr>
            <w:r>
              <w:rPr>
                <w:rFonts w:hint="eastAsia" w:ascii="宋体" w:hAnsi="宋体" w:cs="宋体"/>
              </w:rPr>
              <w:t>填充：30～36</w:t>
            </w:r>
          </w:p>
          <w:p>
            <w:pPr>
              <w:spacing w:line="0" w:lineRule="atLeast"/>
              <w:jc w:val="center"/>
              <w:rPr>
                <w:rFonts w:ascii="宋体" w:hAnsi="宋体" w:cs="宋体"/>
              </w:rPr>
            </w:pPr>
            <w:r>
              <w:rPr>
                <w:rFonts w:hint="eastAsia" w:ascii="宋体" w:hAnsi="宋体" w:cs="宋体"/>
              </w:rPr>
              <w:t>盖面：30～36</w:t>
            </w:r>
          </w:p>
        </w:tc>
        <w:tc>
          <w:tcPr>
            <w:tcW w:w="944" w:type="pct"/>
            <w:vAlign w:val="center"/>
          </w:tcPr>
          <w:p>
            <w:pPr>
              <w:spacing w:line="0" w:lineRule="atLeast"/>
              <w:jc w:val="center"/>
              <w:rPr>
                <w:rFonts w:ascii="宋体" w:hAnsi="宋体" w:cs="宋体"/>
              </w:rPr>
            </w:pPr>
            <w:r>
              <w:rPr>
                <w:rFonts w:hint="eastAsia" w:ascii="宋体" w:hAnsi="宋体" w:cs="宋体"/>
              </w:rPr>
              <w:t>打底：28～45</w:t>
            </w:r>
          </w:p>
          <w:p>
            <w:pPr>
              <w:spacing w:line="0" w:lineRule="atLeast"/>
              <w:jc w:val="center"/>
              <w:rPr>
                <w:rFonts w:ascii="宋体" w:hAnsi="宋体" w:cs="宋体"/>
              </w:rPr>
            </w:pPr>
            <w:r>
              <w:rPr>
                <w:rFonts w:hint="eastAsia" w:ascii="宋体" w:hAnsi="宋体" w:cs="宋体"/>
              </w:rPr>
              <w:t>填充：24～30</w:t>
            </w:r>
          </w:p>
          <w:p>
            <w:pPr>
              <w:spacing w:line="0" w:lineRule="atLeast"/>
              <w:jc w:val="center"/>
              <w:rPr>
                <w:rFonts w:ascii="宋体" w:hAnsi="宋体" w:cs="宋体"/>
              </w:rPr>
            </w:pPr>
            <w:r>
              <w:rPr>
                <w:rFonts w:hint="eastAsia" w:ascii="宋体" w:hAnsi="宋体" w:cs="宋体"/>
              </w:rPr>
              <w:t>盖面：28～40</w:t>
            </w:r>
          </w:p>
        </w:tc>
        <w:tc>
          <w:tcPr>
            <w:tcW w:w="833" w:type="pct"/>
            <w:vAlign w:val="center"/>
          </w:tcPr>
          <w:p>
            <w:pPr>
              <w:spacing w:line="0" w:lineRule="atLeast"/>
              <w:jc w:val="center"/>
              <w:rPr>
                <w:rFonts w:ascii="宋体" w:hAnsi="宋体" w:cs="宋体"/>
              </w:rPr>
            </w:pPr>
            <w:r>
              <w:rPr>
                <w:rFonts w:hint="eastAsia" w:ascii="宋体" w:hAnsi="宋体" w:cs="宋体"/>
              </w:rPr>
              <w:t>打底：40～50</w:t>
            </w:r>
          </w:p>
          <w:p>
            <w:pPr>
              <w:spacing w:line="0" w:lineRule="atLeast"/>
              <w:jc w:val="center"/>
              <w:rPr>
                <w:rFonts w:ascii="宋体" w:hAnsi="宋体" w:cs="宋体"/>
              </w:rPr>
            </w:pPr>
            <w:r>
              <w:rPr>
                <w:rFonts w:hint="eastAsia" w:ascii="宋体" w:hAnsi="宋体" w:cs="宋体"/>
              </w:rPr>
              <w:t>填充：40～50</w:t>
            </w:r>
          </w:p>
          <w:p>
            <w:pPr>
              <w:spacing w:line="0" w:lineRule="atLeast"/>
              <w:jc w:val="center"/>
              <w:rPr>
                <w:rFonts w:ascii="宋体" w:hAnsi="宋体" w:cs="宋体"/>
              </w:rPr>
            </w:pPr>
            <w:r>
              <w:rPr>
                <w:rFonts w:hint="eastAsia" w:ascii="宋体" w:hAnsi="宋体" w:cs="宋体"/>
              </w:rPr>
              <w:t>盖面：40～50</w:t>
            </w:r>
          </w:p>
        </w:tc>
      </w:tr>
    </w:tbl>
    <w:p>
      <w:pPr>
        <w:pStyle w:val="4"/>
        <w:spacing w:line="360" w:lineRule="auto"/>
        <w:ind w:firstLine="0" w:firstLineChars="0"/>
      </w:pPr>
    </w:p>
    <w:p>
      <w:pPr>
        <w:spacing w:line="360" w:lineRule="auto"/>
        <w:rPr>
          <w:rFonts w:asciiTheme="minorEastAsia" w:hAnsiTheme="minorEastAsia"/>
        </w:rPr>
      </w:pPr>
      <w:r>
        <w:rPr>
          <w:rFonts w:hint="eastAsia" w:asciiTheme="minorEastAsia" w:hAnsiTheme="minorEastAsia"/>
        </w:rPr>
        <w:t>8.8.3 角焊缝焊接时使用的平角埋弧焊机，其焊枪角度调节范围应符合焊接工艺的要求。</w:t>
      </w:r>
    </w:p>
    <w:p>
      <w:pPr>
        <w:spacing w:line="360" w:lineRule="auto"/>
        <w:rPr>
          <w:rFonts w:asciiTheme="minorEastAsia" w:hAnsiTheme="minorEastAsia"/>
        </w:rPr>
      </w:pPr>
      <w:r>
        <w:rPr>
          <w:rFonts w:hint="eastAsia" w:asciiTheme="minorEastAsia" w:hAnsiTheme="minorEastAsia"/>
        </w:rPr>
        <w:t>加强圈地面预制角焊缝组对定位焊长度宜为50</w:t>
      </w:r>
      <w:r>
        <w:rPr>
          <w:rFonts w:hint="eastAsia" w:ascii="宋体" w:hAnsi="宋体" w:cs="宋体"/>
        </w:rPr>
        <w:t>～</w:t>
      </w:r>
      <w:r>
        <w:rPr>
          <w:rFonts w:hint="eastAsia" w:asciiTheme="minorEastAsia" w:hAnsiTheme="minorEastAsia"/>
        </w:rPr>
        <w:t>100mm，两定位焊之间间距不应少于100</w:t>
      </w:r>
      <w:r>
        <w:rPr>
          <w:rFonts w:hint="eastAsia" w:ascii="宋体" w:hAnsi="宋体" w:cs="宋体"/>
        </w:rPr>
        <w:t>～</w:t>
      </w:r>
      <w:r>
        <w:rPr>
          <w:rFonts w:hint="eastAsia" w:asciiTheme="minorEastAsia" w:hAnsiTheme="minorEastAsia"/>
        </w:rPr>
        <w:t>150mm。</w:t>
      </w:r>
    </w:p>
    <w:p>
      <w:pPr>
        <w:spacing w:line="360" w:lineRule="auto"/>
        <w:rPr>
          <w:rFonts w:asciiTheme="minorEastAsia" w:hAnsiTheme="minorEastAsia"/>
        </w:rPr>
      </w:pPr>
      <w:r>
        <w:rPr>
          <w:rFonts w:hint="eastAsia" w:asciiTheme="minorEastAsia" w:hAnsiTheme="minorEastAsia"/>
        </w:rPr>
        <w:t>8.8.4 角焊缝反变形工装，应与壁板和底板垂直安装，且两相邻工装的间距不应大于1.5m。</w:t>
      </w:r>
    </w:p>
    <w:p>
      <w:pPr>
        <w:spacing w:line="360" w:lineRule="auto"/>
        <w:rPr>
          <w:rFonts w:asciiTheme="minorEastAsia" w:hAnsiTheme="minorEastAsia"/>
        </w:rPr>
      </w:pPr>
      <w:r>
        <w:rPr>
          <w:rFonts w:hint="eastAsia" w:asciiTheme="minorEastAsia" w:hAnsiTheme="minorEastAsia"/>
        </w:rPr>
        <w:t>8.8.5 焊接时焊枪角度宜为35～45°，焊丝干伸长度宜为20～30mm，焊剂应完全覆盖焊接区域，堆高宜为30～40mm，焊丝应始终对准上一道焊道的熔合线位置，其余焊接工艺参数应符合焊接工艺规程的要求。</w:t>
      </w:r>
    </w:p>
    <w:p>
      <w:pPr>
        <w:pStyle w:val="3"/>
        <w:spacing w:line="360" w:lineRule="auto"/>
        <w:rPr>
          <w:rFonts w:ascii="Times New Roman" w:hAnsi="Times New Roman" w:cs="Times New Roman"/>
        </w:rPr>
      </w:pPr>
      <w:bookmarkStart w:id="43" w:name="_Toc159410682"/>
      <w:r>
        <w:rPr>
          <w:rFonts w:hint="eastAsia" w:ascii="Times New Roman" w:hAnsi="Times New Roman" w:cs="Times New Roman"/>
        </w:rPr>
        <w:t>8.9  焊接返修</w:t>
      </w:r>
      <w:bookmarkEnd w:id="43"/>
    </w:p>
    <w:p>
      <w:pPr>
        <w:spacing w:line="360" w:lineRule="auto"/>
        <w:rPr>
          <w:rFonts w:asciiTheme="minorEastAsia" w:hAnsiTheme="minorEastAsia"/>
        </w:rPr>
      </w:pPr>
      <w:r>
        <w:rPr>
          <w:rFonts w:hint="eastAsia" w:asciiTheme="minorEastAsia" w:hAnsiTheme="minorEastAsia"/>
        </w:rPr>
        <w:t>8.9.1 储罐壁板环焊缝一次返修可采用埋弧焊返修。角焊缝、二次返修、局部少量返修，宜采用焊条电弧焊或钨极氩弧焊进行返修。</w:t>
      </w:r>
    </w:p>
    <w:p>
      <w:pPr>
        <w:spacing w:line="360" w:lineRule="auto"/>
        <w:rPr>
          <w:rFonts w:asciiTheme="minorEastAsia" w:hAnsiTheme="minorEastAsia"/>
        </w:rPr>
      </w:pPr>
      <w:r>
        <w:rPr>
          <w:rFonts w:hint="eastAsia" w:asciiTheme="minorEastAsia" w:hAnsiTheme="minorEastAsia"/>
        </w:rPr>
        <w:t>8.9.2 焊缝返修前，应彻底清除焊接缺陷，并修磨至合适的深度、宽度，再进行补焊。</w:t>
      </w:r>
    </w:p>
    <w:p>
      <w:pPr>
        <w:spacing w:line="360" w:lineRule="auto"/>
        <w:rPr>
          <w:rFonts w:asciiTheme="minorEastAsia" w:hAnsiTheme="minorEastAsia"/>
        </w:rPr>
      </w:pPr>
      <w:r>
        <w:rPr>
          <w:rFonts w:hint="eastAsia" w:asciiTheme="minorEastAsia" w:hAnsiTheme="minorEastAsia"/>
        </w:rPr>
        <w:t>8.9.3 返修超过2次时，需执行相应的审批手续。</w:t>
      </w:r>
    </w:p>
    <w:bookmarkEnd w:id="35"/>
    <w:p>
      <w:pPr>
        <w:pStyle w:val="2"/>
        <w:spacing w:before="120" w:after="120" w:line="360" w:lineRule="auto"/>
      </w:pPr>
      <w:bookmarkStart w:id="44" w:name="_Toc159410683"/>
      <w:bookmarkStart w:id="45" w:name="_Toc136765873"/>
      <w:r>
        <w:rPr>
          <w:rFonts w:hint="eastAsia"/>
        </w:rPr>
        <w:t>9</w:t>
      </w:r>
      <w:r>
        <w:t xml:space="preserve"> </w:t>
      </w:r>
      <w:r>
        <w:rPr>
          <w:rFonts w:hint="eastAsia"/>
        </w:rPr>
        <w:t xml:space="preserve"> </w:t>
      </w:r>
      <w:r>
        <w:t>焊接质量检测</w:t>
      </w:r>
      <w:bookmarkEnd w:id="44"/>
      <w:bookmarkEnd w:id="45"/>
      <w:r>
        <w:t xml:space="preserve"> </w:t>
      </w:r>
    </w:p>
    <w:p>
      <w:pPr>
        <w:pStyle w:val="3"/>
        <w:spacing w:line="360" w:lineRule="auto"/>
        <w:rPr>
          <w:rFonts w:ascii="Times New Roman" w:hAnsi="Times New Roman" w:cs="Times New Roman"/>
        </w:rPr>
      </w:pPr>
      <w:bookmarkStart w:id="46" w:name="_Toc136765874"/>
      <w:bookmarkStart w:id="47" w:name="_Toc159410684"/>
      <w:r>
        <w:rPr>
          <w:rFonts w:hint="eastAsia" w:ascii="Times New Roman" w:hAnsi="Times New Roman" w:cs="Times New Roman"/>
        </w:rPr>
        <w:t>9.</w:t>
      </w:r>
      <w:r>
        <w:rPr>
          <w:rFonts w:ascii="Times New Roman" w:hAnsi="Times New Roman" w:cs="Times New Roman"/>
        </w:rPr>
        <w:t>1 外观检查</w:t>
      </w:r>
      <w:bookmarkEnd w:id="46"/>
      <w:bookmarkEnd w:id="47"/>
    </w:p>
    <w:p>
      <w:pPr>
        <w:spacing w:line="360" w:lineRule="auto"/>
        <w:rPr>
          <w:rFonts w:asciiTheme="minorEastAsia" w:hAnsiTheme="minorEastAsia"/>
        </w:rPr>
      </w:pPr>
      <w:r>
        <w:rPr>
          <w:rFonts w:hint="eastAsia" w:asciiTheme="minorEastAsia" w:hAnsiTheme="minorEastAsia"/>
        </w:rPr>
        <w:t>9.</w:t>
      </w:r>
      <w:r>
        <w:rPr>
          <w:rFonts w:asciiTheme="minorEastAsia" w:hAnsiTheme="minorEastAsia"/>
        </w:rPr>
        <w:t>1.1 除设计文件和焊接工艺文件有特殊要求的焊缝外，焊缝应在焊完后立即去除</w:t>
      </w:r>
      <w:r>
        <w:rPr>
          <w:rFonts w:hint="eastAsia" w:asciiTheme="minorEastAsia" w:hAnsiTheme="minorEastAsia"/>
        </w:rPr>
        <w:t>熔渣</w:t>
      </w:r>
      <w:r>
        <w:rPr>
          <w:rFonts w:asciiTheme="minorEastAsia" w:hAnsiTheme="minorEastAsia"/>
        </w:rPr>
        <w:t>、飞溅物，清理干净焊缝表面，并应进行焊缝外观检查。</w:t>
      </w:r>
    </w:p>
    <w:p>
      <w:pPr>
        <w:spacing w:line="360" w:lineRule="auto"/>
        <w:rPr>
          <w:rFonts w:asciiTheme="minorEastAsia" w:hAnsiTheme="minorEastAsia"/>
        </w:rPr>
      </w:pPr>
      <w:r>
        <w:rPr>
          <w:rFonts w:hint="eastAsia" w:asciiTheme="minorEastAsia" w:hAnsiTheme="minorEastAsia"/>
        </w:rPr>
        <w:t>9.</w:t>
      </w:r>
      <w:r>
        <w:rPr>
          <w:rFonts w:asciiTheme="minorEastAsia" w:hAnsiTheme="minorEastAsia"/>
        </w:rPr>
        <w:t xml:space="preserve">1.2 </w:t>
      </w:r>
      <w:r>
        <w:rPr>
          <w:rFonts w:hint="eastAsia" w:asciiTheme="minorEastAsia" w:hAnsiTheme="minorEastAsia"/>
        </w:rPr>
        <w:t>焊缝外观成形要求良好，角焊缝的焊脚高度符合设计文件规定，外观应平缓过渡。接头表面不允许有咬边、裂纹、未熔合、气孔、夹渣、飞溅存在。</w:t>
      </w:r>
    </w:p>
    <w:p>
      <w:pPr>
        <w:pStyle w:val="3"/>
        <w:spacing w:line="360" w:lineRule="auto"/>
        <w:rPr>
          <w:rFonts w:ascii="Times New Roman" w:hAnsi="Times New Roman" w:cs="Times New Roman"/>
        </w:rPr>
      </w:pPr>
      <w:bookmarkStart w:id="48" w:name="_Toc136765875"/>
      <w:bookmarkStart w:id="49" w:name="_Toc159410685"/>
      <w:r>
        <w:rPr>
          <w:rFonts w:hint="eastAsia" w:ascii="Times New Roman" w:hAnsi="Times New Roman" w:cs="Times New Roman"/>
        </w:rPr>
        <w:t>9.</w:t>
      </w:r>
      <w:r>
        <w:rPr>
          <w:rFonts w:ascii="Times New Roman" w:hAnsi="Times New Roman" w:cs="Times New Roman"/>
        </w:rPr>
        <w:t xml:space="preserve">2 </w:t>
      </w:r>
      <w:bookmarkEnd w:id="48"/>
      <w:r>
        <w:rPr>
          <w:rFonts w:hint="eastAsia" w:ascii="Times New Roman" w:hAnsi="Times New Roman" w:cs="Times New Roman"/>
        </w:rPr>
        <w:t>无损检测</w:t>
      </w:r>
      <w:bookmarkEnd w:id="49"/>
    </w:p>
    <w:p>
      <w:pPr>
        <w:spacing w:line="360" w:lineRule="auto"/>
        <w:rPr>
          <w:rFonts w:asciiTheme="minorEastAsia" w:hAnsiTheme="minorEastAsia"/>
        </w:rPr>
      </w:pPr>
      <w:r>
        <w:rPr>
          <w:rFonts w:hint="eastAsia" w:asciiTheme="minorEastAsia" w:hAnsiTheme="minorEastAsia"/>
        </w:rPr>
        <w:t>9.</w:t>
      </w:r>
      <w:r>
        <w:rPr>
          <w:rFonts w:asciiTheme="minorEastAsia" w:hAnsiTheme="minorEastAsia"/>
        </w:rPr>
        <w:t>2.1</w:t>
      </w:r>
      <w:r>
        <w:rPr>
          <w:rFonts w:hint="eastAsia" w:asciiTheme="minorEastAsia" w:hAnsiTheme="minorEastAsia"/>
        </w:rPr>
        <w:t xml:space="preserve"> 焊接接头</w:t>
      </w:r>
      <w:r>
        <w:rPr>
          <w:rFonts w:asciiTheme="minorEastAsia" w:hAnsiTheme="minorEastAsia"/>
        </w:rPr>
        <w:t>无损检测应在该焊缝焊接完成并经外观检查合格后进行</w:t>
      </w:r>
      <w:r>
        <w:rPr>
          <w:rFonts w:hint="eastAsia" w:asciiTheme="minorEastAsia" w:hAnsiTheme="minorEastAsia"/>
        </w:rPr>
        <w:t>。</w:t>
      </w:r>
    </w:p>
    <w:p>
      <w:pPr>
        <w:spacing w:line="360" w:lineRule="auto"/>
        <w:rPr>
          <w:rFonts w:asciiTheme="minorEastAsia" w:hAnsiTheme="minorEastAsia"/>
        </w:rPr>
      </w:pPr>
      <w:r>
        <w:rPr>
          <w:rFonts w:hint="eastAsia" w:asciiTheme="minorEastAsia" w:hAnsiTheme="minorEastAsia"/>
        </w:rPr>
        <w:t>9.2.2 对接焊缝进行射线检测或超声检测。射线检测按NB/T 47013.2规定进行，采用双片技术，技术等级不低于AB级，合格级别为Ⅱ级；超声检测按NB/T 47013.3的规定进行，技术等级不低于B级，Ⅰ级合格。</w:t>
      </w:r>
    </w:p>
    <w:p>
      <w:pPr>
        <w:spacing w:line="360" w:lineRule="auto"/>
        <w:rPr>
          <w:rFonts w:asciiTheme="minorEastAsia" w:hAnsiTheme="minorEastAsia"/>
        </w:rPr>
      </w:pPr>
      <w:r>
        <w:rPr>
          <w:rFonts w:hint="eastAsia" w:asciiTheme="minorEastAsia" w:hAnsiTheme="minorEastAsia"/>
        </w:rPr>
        <w:t>9.2.3 角焊缝两侧均应按NB/T 47013.5要求进行渗透检测，合格级别为Ⅰ级。</w:t>
      </w:r>
    </w:p>
    <w:p>
      <w:pPr>
        <w:spacing w:line="360" w:lineRule="auto"/>
        <w:rPr>
          <w:rFonts w:asciiTheme="minorEastAsia" w:hAnsiTheme="minorEastAsia"/>
        </w:rPr>
      </w:pPr>
      <w:r>
        <w:rPr>
          <w:rFonts w:hint="eastAsia" w:asciiTheme="minorEastAsia" w:hAnsiTheme="minorEastAsia"/>
        </w:rPr>
        <w:t>9.2.4 大角焊缝根部焊道表面、背面清根焊道表面、背面第一道焊缝表面、内外角焊缝最终表面，应按NB/T 47013.5要求进行渗透检测，合格级别为Ⅰ级。</w:t>
      </w:r>
    </w:p>
    <w:p>
      <w:pPr>
        <w:spacing w:line="360" w:lineRule="auto"/>
        <w:rPr>
          <w:rFonts w:asciiTheme="minorEastAsia" w:hAnsiTheme="minorEastAsia"/>
        </w:rPr>
      </w:pPr>
      <w:r>
        <w:rPr>
          <w:rFonts w:hint="eastAsia" w:asciiTheme="minorEastAsia" w:hAnsiTheme="minorEastAsia"/>
        </w:rPr>
        <w:t>9.</w:t>
      </w:r>
      <w:r>
        <w:rPr>
          <w:rFonts w:asciiTheme="minorEastAsia" w:hAnsiTheme="minorEastAsia"/>
        </w:rPr>
        <w:t xml:space="preserve">2.5 </w:t>
      </w:r>
      <w:r>
        <w:rPr>
          <w:rFonts w:hint="eastAsia" w:asciiTheme="minorEastAsia" w:hAnsiTheme="minorEastAsia"/>
        </w:rPr>
        <w:t>临时工卡具打磨处、电弧擦伤修补处，均应按NB/T47013.5进行渗透检测，合格级别为Ⅰ级。</w:t>
      </w:r>
    </w:p>
    <w:p>
      <w:pPr>
        <w:spacing w:line="360" w:lineRule="auto"/>
        <w:rPr>
          <w:rFonts w:asciiTheme="minorEastAsia" w:hAnsiTheme="minorEastAsia"/>
        </w:rPr>
      </w:pPr>
      <w:r>
        <w:rPr>
          <w:rFonts w:hint="eastAsia" w:asciiTheme="minorEastAsia" w:hAnsiTheme="minorEastAsia"/>
        </w:rPr>
        <w:t>9.2.</w:t>
      </w:r>
      <w:r>
        <w:rPr>
          <w:rFonts w:asciiTheme="minorEastAsia" w:hAnsiTheme="minorEastAsia"/>
        </w:rPr>
        <w:t>6</w:t>
      </w:r>
      <w:r>
        <w:rPr>
          <w:rFonts w:hint="eastAsia" w:asciiTheme="minorEastAsia" w:hAnsiTheme="minorEastAsia"/>
        </w:rPr>
        <w:t xml:space="preserve"> 9%Ni钢焊缝合金验证（PMI检测）检测按设计要求执行。</w:t>
      </w:r>
    </w:p>
    <w:p>
      <w:pPr>
        <w:pStyle w:val="3"/>
        <w:spacing w:line="360" w:lineRule="auto"/>
        <w:rPr>
          <w:rFonts w:ascii="Times New Roman" w:hAnsi="Times New Roman" w:cs="Times New Roman"/>
        </w:rPr>
      </w:pPr>
      <w:bookmarkStart w:id="50" w:name="_Toc159410686"/>
      <w:r>
        <w:rPr>
          <w:rFonts w:hint="eastAsia" w:ascii="Times New Roman" w:hAnsi="Times New Roman" w:cs="Times New Roman"/>
        </w:rPr>
        <w:t>9.</w:t>
      </w:r>
      <w:r>
        <w:rPr>
          <w:rFonts w:ascii="Times New Roman" w:hAnsi="Times New Roman" w:cs="Times New Roman"/>
        </w:rPr>
        <w:t xml:space="preserve">3 </w:t>
      </w:r>
      <w:r>
        <w:rPr>
          <w:rFonts w:hint="eastAsia" w:ascii="Times New Roman" w:hAnsi="Times New Roman" w:cs="Times New Roman"/>
        </w:rPr>
        <w:t>真空箱检测</w:t>
      </w:r>
      <w:bookmarkEnd w:id="50"/>
    </w:p>
    <w:p>
      <w:pPr>
        <w:spacing w:line="360" w:lineRule="auto"/>
        <w:ind w:firstLine="420" w:firstLineChars="200"/>
        <w:rPr>
          <w:rFonts w:asciiTheme="minorEastAsia" w:hAnsiTheme="minorEastAsia"/>
        </w:rPr>
      </w:pPr>
      <w:r>
        <w:rPr>
          <w:rFonts w:hint="eastAsia" w:asciiTheme="minorEastAsia" w:hAnsiTheme="minorEastAsia"/>
        </w:rPr>
        <w:t>水压试验以上部分的壁板环焊缝、角焊缝焊缝，全长度均进行真空箱检查，按照47013.8规定真空度不小于30kPa，10s无气泡出现为合格。</w:t>
      </w:r>
    </w:p>
    <w:p>
      <w:pPr>
        <w:spacing w:line="360" w:lineRule="auto"/>
        <w:rPr>
          <w:rFonts w:asciiTheme="minorEastAsia" w:hAnsiTheme="minorEastAsia"/>
        </w:rPr>
        <w:sectPr>
          <w:footerReference r:id="rId3" w:type="default"/>
          <w:pgSz w:w="11906" w:h="16838"/>
          <w:pgMar w:top="1440" w:right="1440" w:bottom="1440" w:left="1440" w:header="851" w:footer="992" w:gutter="0"/>
          <w:cols w:space="425" w:num="1"/>
          <w:docGrid w:linePitch="312" w:charSpace="0"/>
        </w:sectPr>
      </w:pPr>
    </w:p>
    <w:p>
      <w:pPr>
        <w:pStyle w:val="2"/>
        <w:spacing w:before="120" w:after="120" w:line="360" w:lineRule="auto"/>
        <w:jc w:val="center"/>
        <w:rPr>
          <w:rFonts w:cs="Times New Roman"/>
        </w:rPr>
      </w:pPr>
      <w:bookmarkStart w:id="51" w:name="_Toc159410687"/>
      <w:r>
        <w:rPr>
          <w:rFonts w:hint="eastAsia" w:cs="Times New Roman"/>
        </w:rPr>
        <w:t>附录A（资料性附录）推荐的9%Ni钢用国内外镍基埋弧焊材</w:t>
      </w:r>
      <w:bookmarkEnd w:id="51"/>
    </w:p>
    <w:tbl>
      <w:tblPr>
        <w:tblStyle w:val="3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1"/>
        <w:gridCol w:w="1710"/>
        <w:gridCol w:w="1482"/>
        <w:gridCol w:w="1496"/>
        <w:gridCol w:w="1371"/>
        <w:gridCol w:w="2675"/>
        <w:gridCol w:w="2040"/>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1" w:type="pct"/>
            <w:gridSpan w:val="5"/>
            <w:vAlign w:val="center"/>
          </w:tcPr>
          <w:p>
            <w:pPr>
              <w:spacing w:line="0" w:lineRule="atLeast"/>
              <w:jc w:val="center"/>
              <w:rPr>
                <w:rFonts w:ascii="宋体" w:hAnsi="宋体" w:cs="宋体"/>
              </w:rPr>
            </w:pPr>
            <w:r>
              <w:rPr>
                <w:rFonts w:hint="eastAsia" w:ascii="宋体" w:hAnsi="宋体" w:cs="宋体"/>
              </w:rPr>
              <w:t>埋弧焊丝</w:t>
            </w:r>
          </w:p>
        </w:tc>
        <w:tc>
          <w:tcPr>
            <w:tcW w:w="2228" w:type="pct"/>
            <w:gridSpan w:val="3"/>
            <w:vAlign w:val="center"/>
          </w:tcPr>
          <w:p>
            <w:pPr>
              <w:spacing w:line="0" w:lineRule="atLeast"/>
              <w:jc w:val="center"/>
              <w:rPr>
                <w:rFonts w:ascii="宋体" w:hAnsi="宋体" w:cs="宋体"/>
              </w:rPr>
            </w:pPr>
            <w:r>
              <w:rPr>
                <w:rFonts w:hint="eastAsia" w:ascii="宋体" w:hAnsi="宋体" w:cs="宋体"/>
              </w:rPr>
              <w:t>埋弧焊剂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287" w:type="pct"/>
            <w:gridSpan w:val="4"/>
            <w:vAlign w:val="center"/>
          </w:tcPr>
          <w:p>
            <w:pPr>
              <w:spacing w:line="0" w:lineRule="atLeast"/>
              <w:jc w:val="center"/>
              <w:rPr>
                <w:rFonts w:ascii="宋体" w:hAnsi="宋体" w:cs="宋体"/>
              </w:rPr>
            </w:pPr>
            <w:r>
              <w:rPr>
                <w:rFonts w:hint="eastAsia" w:ascii="宋体" w:hAnsi="宋体" w:cs="宋体"/>
              </w:rPr>
              <w:t>型号</w:t>
            </w:r>
          </w:p>
        </w:tc>
        <w:tc>
          <w:tcPr>
            <w:tcW w:w="484" w:type="pct"/>
            <w:vMerge w:val="restart"/>
            <w:vAlign w:val="center"/>
          </w:tcPr>
          <w:p>
            <w:pPr>
              <w:spacing w:line="0" w:lineRule="atLeast"/>
              <w:jc w:val="center"/>
              <w:rPr>
                <w:rFonts w:ascii="宋体" w:hAnsi="宋体" w:cs="宋体"/>
              </w:rPr>
            </w:pPr>
            <w:r>
              <w:rPr>
                <w:rFonts w:hint="eastAsia" w:ascii="宋体" w:hAnsi="宋体" w:cs="宋体"/>
              </w:rPr>
              <w:t>规格</w:t>
            </w:r>
          </w:p>
        </w:tc>
        <w:tc>
          <w:tcPr>
            <w:tcW w:w="1664" w:type="pct"/>
            <w:gridSpan w:val="2"/>
            <w:vAlign w:val="center"/>
          </w:tcPr>
          <w:p>
            <w:pPr>
              <w:spacing w:line="0" w:lineRule="atLeast"/>
              <w:jc w:val="center"/>
              <w:rPr>
                <w:rFonts w:ascii="宋体" w:hAnsi="宋体" w:cs="宋体"/>
              </w:rPr>
            </w:pPr>
            <w:r>
              <w:rPr>
                <w:rFonts w:hint="eastAsia" w:ascii="宋体" w:hAnsi="宋体" w:cs="宋体"/>
              </w:rPr>
              <w:t>型号</w:t>
            </w:r>
          </w:p>
        </w:tc>
        <w:tc>
          <w:tcPr>
            <w:tcW w:w="563" w:type="pct"/>
            <w:vMerge w:val="restart"/>
            <w:vAlign w:val="center"/>
          </w:tcPr>
          <w:p>
            <w:pPr>
              <w:spacing w:line="0" w:lineRule="atLeast"/>
              <w:jc w:val="center"/>
              <w:rPr>
                <w:rFonts w:ascii="宋体" w:hAnsi="宋体" w:cs="宋体"/>
              </w:rPr>
            </w:pPr>
            <w:r>
              <w:rPr>
                <w:rFonts w:hint="eastAsia" w:ascii="宋体" w:hAnsi="宋体" w:cs="宋体"/>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632" w:type="pct"/>
            <w:vAlign w:val="center"/>
          </w:tcPr>
          <w:p>
            <w:pPr>
              <w:spacing w:line="0" w:lineRule="atLeast"/>
              <w:jc w:val="center"/>
              <w:rPr>
                <w:rFonts w:ascii="宋体" w:hAnsi="宋体" w:cs="宋体"/>
              </w:rPr>
            </w:pPr>
            <w:r>
              <w:rPr>
                <w:rFonts w:hint="eastAsia" w:ascii="宋体" w:hAnsi="宋体" w:cs="宋体"/>
              </w:rPr>
              <w:t>化学成分代号</w:t>
            </w:r>
          </w:p>
        </w:tc>
        <w:tc>
          <w:tcPr>
            <w:tcW w:w="604" w:type="pct"/>
            <w:vAlign w:val="center"/>
          </w:tcPr>
          <w:p>
            <w:pPr>
              <w:spacing w:line="0" w:lineRule="atLeast"/>
              <w:jc w:val="center"/>
              <w:rPr>
                <w:rFonts w:ascii="宋体" w:hAnsi="宋体" w:cs="宋体"/>
              </w:rPr>
            </w:pPr>
            <w:r>
              <w:rPr>
                <w:rFonts w:hint="eastAsia" w:ascii="宋体" w:hAnsi="宋体" w:cs="宋体"/>
              </w:rPr>
              <w:t>AWS A5.14</w:t>
            </w:r>
          </w:p>
        </w:tc>
        <w:tc>
          <w:tcPr>
            <w:tcW w:w="523" w:type="pct"/>
            <w:vAlign w:val="center"/>
          </w:tcPr>
          <w:p>
            <w:pPr>
              <w:spacing w:line="0" w:lineRule="atLeast"/>
              <w:jc w:val="center"/>
              <w:rPr>
                <w:rFonts w:ascii="宋体" w:hAnsi="宋体" w:cs="宋体"/>
              </w:rPr>
            </w:pPr>
            <w:r>
              <w:rPr>
                <w:rFonts w:hint="eastAsia" w:ascii="宋体" w:hAnsi="宋体" w:cs="宋体"/>
              </w:rPr>
              <w:t>GB/T 15620</w:t>
            </w:r>
          </w:p>
        </w:tc>
        <w:tc>
          <w:tcPr>
            <w:tcW w:w="527" w:type="pct"/>
            <w:vAlign w:val="center"/>
          </w:tcPr>
          <w:p>
            <w:pPr>
              <w:spacing w:line="0" w:lineRule="atLeast"/>
              <w:jc w:val="center"/>
              <w:rPr>
                <w:rFonts w:ascii="宋体" w:hAnsi="宋体" w:cs="宋体"/>
              </w:rPr>
            </w:pPr>
            <w:r>
              <w:rPr>
                <w:rFonts w:hint="eastAsia" w:ascii="宋体" w:hAnsi="宋体" w:cs="宋体"/>
              </w:rPr>
              <w:t>EN ISO 18274</w:t>
            </w:r>
          </w:p>
        </w:tc>
        <w:tc>
          <w:tcPr>
            <w:tcW w:w="484" w:type="pct"/>
            <w:vMerge w:val="continue"/>
            <w:vAlign w:val="center"/>
          </w:tcPr>
          <w:p>
            <w:pPr>
              <w:spacing w:line="0" w:lineRule="atLeast"/>
              <w:jc w:val="center"/>
              <w:rPr>
                <w:rFonts w:ascii="宋体" w:hAnsi="宋体" w:cs="宋体"/>
              </w:rPr>
            </w:pPr>
          </w:p>
        </w:tc>
        <w:tc>
          <w:tcPr>
            <w:tcW w:w="944" w:type="pct"/>
            <w:vAlign w:val="center"/>
          </w:tcPr>
          <w:p>
            <w:pPr>
              <w:spacing w:line="0" w:lineRule="atLeast"/>
              <w:jc w:val="center"/>
              <w:rPr>
                <w:rFonts w:ascii="宋体" w:hAnsi="宋体" w:cs="宋体"/>
              </w:rPr>
            </w:pPr>
            <w:r>
              <w:rPr>
                <w:rFonts w:hint="eastAsia" w:cs="Times New Roman" w:asciiTheme="minorEastAsia" w:hAnsiTheme="minorEastAsia"/>
              </w:rPr>
              <w:t>EN ISO 17174</w:t>
            </w:r>
          </w:p>
        </w:tc>
        <w:tc>
          <w:tcPr>
            <w:tcW w:w="720" w:type="pct"/>
            <w:vAlign w:val="center"/>
          </w:tcPr>
          <w:p>
            <w:pPr>
              <w:spacing w:line="0" w:lineRule="atLeast"/>
              <w:jc w:val="center"/>
              <w:rPr>
                <w:rFonts w:cs="Times New Roman" w:asciiTheme="minorEastAsia" w:hAnsiTheme="minorEastAsia"/>
              </w:rPr>
            </w:pPr>
            <w:r>
              <w:rPr>
                <w:rFonts w:hint="eastAsia" w:cs="Times New Roman" w:asciiTheme="minorEastAsia" w:hAnsiTheme="minorEastAsia"/>
              </w:rPr>
              <w:t>NB/T 47018</w:t>
            </w:r>
          </w:p>
        </w:tc>
        <w:tc>
          <w:tcPr>
            <w:tcW w:w="563" w:type="pct"/>
            <w:vMerge w:val="continue"/>
            <w:vAlign w:val="center"/>
          </w:tcPr>
          <w:p>
            <w:pPr>
              <w:spacing w:line="0" w:lineRule="atLeas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632" w:type="pct"/>
            <w:vAlign w:val="center"/>
          </w:tcPr>
          <w:p>
            <w:pPr>
              <w:spacing w:line="0" w:lineRule="atLeast"/>
              <w:jc w:val="center"/>
              <w:rPr>
                <w:rFonts w:ascii="宋体" w:hAnsi="宋体" w:cs="宋体"/>
              </w:rPr>
            </w:pPr>
            <w:r>
              <w:rPr>
                <w:rFonts w:hint="eastAsia" w:ascii="宋体" w:hAnsi="宋体" w:cs="宋体"/>
              </w:rPr>
              <w:t>NiCr22Mo9Nb</w:t>
            </w:r>
          </w:p>
        </w:tc>
        <w:tc>
          <w:tcPr>
            <w:tcW w:w="604" w:type="pct"/>
            <w:vAlign w:val="center"/>
          </w:tcPr>
          <w:p>
            <w:pPr>
              <w:spacing w:line="0" w:lineRule="atLeast"/>
              <w:jc w:val="center"/>
              <w:rPr>
                <w:rFonts w:ascii="宋体" w:hAnsi="宋体" w:cs="宋体"/>
              </w:rPr>
            </w:pPr>
            <w:r>
              <w:rPr>
                <w:rFonts w:hint="eastAsia" w:ascii="宋体" w:hAnsi="宋体" w:cs="宋体"/>
              </w:rPr>
              <w:t>ERNiCrMo-3</w:t>
            </w:r>
          </w:p>
        </w:tc>
        <w:tc>
          <w:tcPr>
            <w:tcW w:w="523" w:type="pct"/>
            <w:vAlign w:val="center"/>
          </w:tcPr>
          <w:p>
            <w:pPr>
              <w:spacing w:line="0" w:lineRule="atLeast"/>
              <w:jc w:val="center"/>
              <w:rPr>
                <w:rFonts w:ascii="宋体" w:hAnsi="宋体" w:cs="宋体"/>
              </w:rPr>
            </w:pPr>
            <w:r>
              <w:rPr>
                <w:rFonts w:hint="eastAsia" w:ascii="宋体" w:hAnsi="宋体" w:cs="宋体"/>
              </w:rPr>
              <w:t>SNi6625</w:t>
            </w:r>
          </w:p>
        </w:tc>
        <w:tc>
          <w:tcPr>
            <w:tcW w:w="527" w:type="pct"/>
            <w:vAlign w:val="center"/>
          </w:tcPr>
          <w:p>
            <w:pPr>
              <w:spacing w:line="0" w:lineRule="atLeast"/>
              <w:jc w:val="center"/>
              <w:rPr>
                <w:rFonts w:ascii="宋体" w:hAnsi="宋体" w:cs="宋体"/>
              </w:rPr>
            </w:pPr>
            <w:r>
              <w:rPr>
                <w:rFonts w:hint="eastAsia" w:ascii="宋体" w:hAnsi="宋体" w:cs="宋体"/>
              </w:rPr>
              <w:t>Ni6625B</w:t>
            </w:r>
          </w:p>
        </w:tc>
        <w:tc>
          <w:tcPr>
            <w:tcW w:w="484" w:type="pct"/>
            <w:vAlign w:val="center"/>
          </w:tcPr>
          <w:p>
            <w:pPr>
              <w:spacing w:line="0" w:lineRule="atLeast"/>
              <w:jc w:val="center"/>
              <w:rPr>
                <w:rFonts w:cs="Times New Roman" w:asciiTheme="minorEastAsia" w:hAnsiTheme="minorEastAsia"/>
              </w:rPr>
            </w:pPr>
            <w:r>
              <w:rPr>
                <w:rFonts w:hint="eastAsia" w:cs="Times New Roman" w:asciiTheme="minorEastAsia" w:hAnsiTheme="minorEastAsia"/>
              </w:rPr>
              <w:t>Ф1.6/Ф2.4</w:t>
            </w:r>
          </w:p>
        </w:tc>
        <w:tc>
          <w:tcPr>
            <w:tcW w:w="944" w:type="pct"/>
            <w:vAlign w:val="center"/>
          </w:tcPr>
          <w:p>
            <w:pPr>
              <w:spacing w:line="0" w:lineRule="atLeast"/>
              <w:jc w:val="center"/>
              <w:rPr>
                <w:rFonts w:cs="Times New Roman" w:asciiTheme="minorEastAsia" w:hAnsiTheme="minorEastAsia"/>
              </w:rPr>
            </w:pPr>
            <w:r>
              <w:rPr>
                <w:rFonts w:hint="eastAsia" w:cs="Times New Roman" w:asciiTheme="minorEastAsia" w:hAnsiTheme="minorEastAsia"/>
              </w:rPr>
              <w:t>SA FB 2</w:t>
            </w:r>
          </w:p>
          <w:p>
            <w:pPr>
              <w:spacing w:line="0" w:lineRule="atLeast"/>
              <w:jc w:val="center"/>
              <w:rPr>
                <w:rFonts w:cs="Times New Roman" w:asciiTheme="minorEastAsia" w:hAnsiTheme="minorEastAsia"/>
              </w:rPr>
            </w:pPr>
            <w:r>
              <w:rPr>
                <w:rFonts w:hint="eastAsia" w:cs="Times New Roman" w:asciiTheme="minorEastAsia" w:hAnsiTheme="minorEastAsia"/>
              </w:rPr>
              <w:t>EN760 SA AF 2 CrNi</w:t>
            </w:r>
          </w:p>
        </w:tc>
        <w:tc>
          <w:tcPr>
            <w:tcW w:w="720" w:type="pct"/>
            <w:vAlign w:val="center"/>
          </w:tcPr>
          <w:p>
            <w:pPr>
              <w:spacing w:line="0" w:lineRule="atLeast"/>
              <w:jc w:val="center"/>
              <w:rPr>
                <w:rFonts w:cs="Times New Roman" w:asciiTheme="minorEastAsia" w:hAnsiTheme="minorEastAsia"/>
              </w:rPr>
            </w:pPr>
            <w:r>
              <w:rPr>
                <w:rFonts w:hint="eastAsia" w:cs="Times New Roman" w:asciiTheme="minorEastAsia" w:hAnsiTheme="minorEastAsia"/>
              </w:rPr>
              <w:t>/</w:t>
            </w:r>
          </w:p>
        </w:tc>
        <w:tc>
          <w:tcPr>
            <w:tcW w:w="563" w:type="pct"/>
            <w:vAlign w:val="center"/>
          </w:tcPr>
          <w:p>
            <w:pPr>
              <w:spacing w:line="0" w:lineRule="atLeast"/>
              <w:jc w:val="center"/>
              <w:rPr>
                <w:rFonts w:cs="Times New Roman" w:asciiTheme="minorEastAsia" w:hAnsiTheme="minorEastAsia"/>
              </w:rPr>
            </w:pPr>
            <w:r>
              <w:rPr>
                <w:rFonts w:hint="eastAsia" w:cs="Times New Roman" w:asciiTheme="minorEastAsia" w:hAnsiTheme="minorEastAsia"/>
              </w:rPr>
              <w:t>（8～10）*（50～70）目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632" w:type="pct"/>
            <w:vAlign w:val="center"/>
          </w:tcPr>
          <w:p>
            <w:pPr>
              <w:spacing w:line="0" w:lineRule="atLeast"/>
              <w:jc w:val="center"/>
              <w:rPr>
                <w:rFonts w:ascii="宋体" w:hAnsi="宋体" w:cs="宋体"/>
              </w:rPr>
            </w:pPr>
            <w:r>
              <w:rPr>
                <w:rFonts w:hint="eastAsia" w:ascii="宋体" w:hAnsi="宋体" w:cs="宋体"/>
              </w:rPr>
              <w:t>NiCr15Mo16Fe6W4</w:t>
            </w:r>
          </w:p>
        </w:tc>
        <w:tc>
          <w:tcPr>
            <w:tcW w:w="604" w:type="pct"/>
            <w:vAlign w:val="center"/>
          </w:tcPr>
          <w:p>
            <w:pPr>
              <w:spacing w:line="0" w:lineRule="atLeast"/>
              <w:jc w:val="center"/>
              <w:rPr>
                <w:rFonts w:ascii="宋体" w:hAnsi="宋体" w:cs="宋体"/>
              </w:rPr>
            </w:pPr>
            <w:r>
              <w:rPr>
                <w:rFonts w:hint="eastAsia" w:ascii="宋体" w:hAnsi="宋体" w:cs="宋体"/>
              </w:rPr>
              <w:t>ERNiCrMo-4</w:t>
            </w:r>
          </w:p>
        </w:tc>
        <w:tc>
          <w:tcPr>
            <w:tcW w:w="523" w:type="pct"/>
            <w:vAlign w:val="center"/>
          </w:tcPr>
          <w:p>
            <w:pPr>
              <w:spacing w:line="0" w:lineRule="atLeast"/>
              <w:jc w:val="center"/>
              <w:rPr>
                <w:rFonts w:ascii="宋体" w:hAnsi="宋体" w:cs="宋体"/>
              </w:rPr>
            </w:pPr>
            <w:r>
              <w:rPr>
                <w:rFonts w:hint="eastAsia" w:ascii="宋体" w:hAnsi="宋体" w:cs="宋体"/>
              </w:rPr>
              <w:t>SNi6276</w:t>
            </w:r>
          </w:p>
        </w:tc>
        <w:tc>
          <w:tcPr>
            <w:tcW w:w="527" w:type="pct"/>
            <w:vAlign w:val="center"/>
          </w:tcPr>
          <w:p>
            <w:pPr>
              <w:spacing w:line="0" w:lineRule="atLeast"/>
              <w:jc w:val="center"/>
              <w:rPr>
                <w:rFonts w:ascii="宋体" w:hAnsi="宋体" w:cs="宋体"/>
              </w:rPr>
            </w:pPr>
            <w:r>
              <w:rPr>
                <w:rFonts w:hint="eastAsia" w:ascii="宋体" w:hAnsi="宋体" w:cs="宋体"/>
              </w:rPr>
              <w:t>Ni6276</w:t>
            </w:r>
          </w:p>
        </w:tc>
        <w:tc>
          <w:tcPr>
            <w:tcW w:w="484" w:type="pct"/>
            <w:vAlign w:val="center"/>
          </w:tcPr>
          <w:p>
            <w:pPr>
              <w:spacing w:line="0" w:lineRule="atLeast"/>
              <w:jc w:val="center"/>
              <w:rPr>
                <w:rFonts w:cs="Times New Roman" w:asciiTheme="minorEastAsia" w:hAnsiTheme="minorEastAsia"/>
              </w:rPr>
            </w:pPr>
            <w:r>
              <w:rPr>
                <w:rFonts w:hint="eastAsia" w:cs="Times New Roman" w:asciiTheme="minorEastAsia" w:hAnsiTheme="minorEastAsia"/>
              </w:rPr>
              <w:t>Ф1.6/Ф2.4</w:t>
            </w:r>
          </w:p>
        </w:tc>
        <w:tc>
          <w:tcPr>
            <w:tcW w:w="944" w:type="pct"/>
            <w:vAlign w:val="center"/>
          </w:tcPr>
          <w:p>
            <w:pPr>
              <w:spacing w:line="0" w:lineRule="atLeast"/>
              <w:jc w:val="center"/>
              <w:rPr>
                <w:rFonts w:cs="Times New Roman" w:asciiTheme="minorEastAsia" w:hAnsiTheme="minorEastAsia"/>
              </w:rPr>
            </w:pPr>
            <w:r>
              <w:rPr>
                <w:rFonts w:hint="eastAsia" w:cs="Times New Roman" w:asciiTheme="minorEastAsia" w:hAnsiTheme="minorEastAsia"/>
              </w:rPr>
              <w:t>SA FB 2</w:t>
            </w:r>
          </w:p>
          <w:p>
            <w:pPr>
              <w:spacing w:line="0" w:lineRule="atLeast"/>
              <w:jc w:val="center"/>
              <w:rPr>
                <w:rFonts w:cs="Times New Roman" w:asciiTheme="minorEastAsia" w:hAnsiTheme="minorEastAsia"/>
              </w:rPr>
            </w:pPr>
            <w:r>
              <w:rPr>
                <w:rFonts w:hint="eastAsia" w:cs="Times New Roman" w:asciiTheme="minorEastAsia" w:hAnsiTheme="minorEastAsia"/>
              </w:rPr>
              <w:t>EN760 SA AF 2 CrNi</w:t>
            </w:r>
          </w:p>
        </w:tc>
        <w:tc>
          <w:tcPr>
            <w:tcW w:w="720" w:type="pct"/>
            <w:vAlign w:val="center"/>
          </w:tcPr>
          <w:p>
            <w:pPr>
              <w:spacing w:line="0" w:lineRule="atLeast"/>
              <w:jc w:val="center"/>
              <w:rPr>
                <w:rFonts w:cs="Times New Roman" w:asciiTheme="minorEastAsia" w:hAnsiTheme="minorEastAsia"/>
              </w:rPr>
            </w:pPr>
            <w:r>
              <w:rPr>
                <w:rFonts w:hint="eastAsia" w:cs="Times New Roman" w:asciiTheme="minorEastAsia" w:hAnsiTheme="minorEastAsia"/>
              </w:rPr>
              <w:t>/</w:t>
            </w:r>
          </w:p>
        </w:tc>
        <w:tc>
          <w:tcPr>
            <w:tcW w:w="563" w:type="pct"/>
            <w:vAlign w:val="center"/>
          </w:tcPr>
          <w:p>
            <w:pPr>
              <w:spacing w:line="0" w:lineRule="atLeast"/>
              <w:jc w:val="center"/>
              <w:rPr>
                <w:rFonts w:cs="Times New Roman" w:asciiTheme="minorEastAsia" w:hAnsiTheme="minorEastAsia"/>
              </w:rPr>
            </w:pPr>
            <w:r>
              <w:rPr>
                <w:rFonts w:hint="eastAsia" w:cs="Times New Roman" w:asciiTheme="minorEastAsia" w:hAnsiTheme="minorEastAsia"/>
              </w:rPr>
              <w:t>（8～10）*（50～70）目</w:t>
            </w:r>
          </w:p>
        </w:tc>
      </w:tr>
    </w:tbl>
    <w:p>
      <w:pPr>
        <w:jc w:val="center"/>
        <w:outlineLvl w:val="0"/>
        <w:rPr>
          <w:rFonts w:ascii="黑体" w:hAnsi="黑体" w:eastAsia="黑体"/>
        </w:rPr>
        <w:sectPr>
          <w:pgSz w:w="16838" w:h="11906" w:orient="landscape"/>
          <w:pgMar w:top="1440" w:right="1440" w:bottom="1440" w:left="1440" w:header="851" w:footer="992" w:gutter="0"/>
          <w:cols w:space="0" w:num="1"/>
          <w:docGrid w:linePitch="312" w:charSpace="0"/>
        </w:sectPr>
      </w:pPr>
      <w:bookmarkStart w:id="52" w:name="_Toc136765880"/>
    </w:p>
    <w:p>
      <w:pPr>
        <w:pStyle w:val="2"/>
        <w:spacing w:before="120" w:after="120" w:line="360" w:lineRule="auto"/>
        <w:jc w:val="center"/>
        <w:rPr>
          <w:rFonts w:cs="Times New Roman"/>
        </w:rPr>
      </w:pPr>
      <w:bookmarkStart w:id="53" w:name="_Toc159410688"/>
      <w:r>
        <w:rPr>
          <w:rFonts w:hint="eastAsia" w:cs="Times New Roman"/>
        </w:rPr>
        <w:t>附录B（资料性附录）推荐的焊接工艺评定指标</w:t>
      </w:r>
      <w:bookmarkEnd w:id="53"/>
    </w:p>
    <w:tbl>
      <w:tblPr>
        <w:tblStyle w:val="3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2"/>
        <w:gridCol w:w="3243"/>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pct"/>
          </w:tcPr>
          <w:p>
            <w:pPr>
              <w:spacing w:line="0" w:lineRule="atLeast"/>
              <w:jc w:val="center"/>
              <w:rPr>
                <w:rFonts w:ascii="宋体" w:hAnsi="宋体" w:cs="宋体"/>
                <w:b/>
                <w:bCs/>
              </w:rPr>
            </w:pPr>
            <w:r>
              <w:rPr>
                <w:rFonts w:hint="eastAsia" w:ascii="宋体" w:hAnsi="宋体" w:cs="宋体"/>
                <w:b/>
                <w:bCs/>
              </w:rPr>
              <w:t>试验指标</w:t>
            </w:r>
          </w:p>
        </w:tc>
        <w:tc>
          <w:tcPr>
            <w:tcW w:w="1755" w:type="pct"/>
          </w:tcPr>
          <w:p>
            <w:pPr>
              <w:spacing w:line="0" w:lineRule="atLeast"/>
              <w:jc w:val="center"/>
              <w:rPr>
                <w:rFonts w:ascii="宋体" w:hAnsi="宋体" w:cs="宋体"/>
                <w:b/>
                <w:bCs/>
              </w:rPr>
            </w:pPr>
            <w:r>
              <w:rPr>
                <w:rFonts w:hint="eastAsia" w:ascii="宋体" w:hAnsi="宋体" w:cs="宋体"/>
                <w:b/>
                <w:bCs/>
              </w:rPr>
              <w:t>NB/T 47014</w:t>
            </w:r>
          </w:p>
        </w:tc>
        <w:tc>
          <w:tcPr>
            <w:tcW w:w="1667" w:type="pct"/>
          </w:tcPr>
          <w:p>
            <w:pPr>
              <w:spacing w:line="0" w:lineRule="atLeast"/>
              <w:jc w:val="center"/>
              <w:rPr>
                <w:rFonts w:ascii="宋体" w:hAnsi="宋体" w:cs="宋体"/>
                <w:b/>
                <w:bCs/>
              </w:rPr>
            </w:pPr>
            <w:r>
              <w:rPr>
                <w:rFonts w:hint="eastAsia" w:ascii="宋体" w:hAnsi="宋体" w:cs="宋体"/>
                <w:b/>
                <w:bCs/>
              </w:rPr>
              <w:t>ISO 15614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pct"/>
          </w:tcPr>
          <w:p>
            <w:pPr>
              <w:spacing w:line="0" w:lineRule="atLeast"/>
              <w:jc w:val="center"/>
              <w:rPr>
                <w:rFonts w:ascii="宋体" w:hAnsi="宋体" w:cs="宋体"/>
              </w:rPr>
            </w:pPr>
            <w:r>
              <w:rPr>
                <w:rFonts w:hint="eastAsia" w:ascii="宋体" w:hAnsi="宋体" w:cs="宋体"/>
              </w:rPr>
              <w:t>横向拉伸试验</w:t>
            </w:r>
          </w:p>
        </w:tc>
        <w:tc>
          <w:tcPr>
            <w:tcW w:w="1755" w:type="pct"/>
          </w:tcPr>
          <w:p>
            <w:pPr>
              <w:spacing w:line="0" w:lineRule="atLeast"/>
              <w:jc w:val="center"/>
              <w:rPr>
                <w:rFonts w:ascii="宋体" w:hAnsi="宋体" w:cs="宋体"/>
              </w:rPr>
            </w:pPr>
            <w:r>
              <w:rPr>
                <w:rFonts w:hint="eastAsia" w:ascii="宋体" w:hAnsi="宋体" w:cs="宋体"/>
              </w:rPr>
              <w:t>抗拉强度≥560MPa</w:t>
            </w:r>
          </w:p>
        </w:tc>
        <w:tc>
          <w:tcPr>
            <w:tcW w:w="1667" w:type="pct"/>
          </w:tcPr>
          <w:p>
            <w:pPr>
              <w:spacing w:line="0" w:lineRule="atLeast"/>
              <w:jc w:val="center"/>
              <w:rPr>
                <w:rFonts w:ascii="宋体" w:hAnsi="宋体" w:cs="宋体"/>
              </w:rPr>
            </w:pPr>
            <w:r>
              <w:rPr>
                <w:rFonts w:hint="eastAsia" w:ascii="宋体" w:hAnsi="宋体" w:cs="宋体"/>
              </w:rPr>
              <w:t>抗拉强度≥690MPa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pct"/>
          </w:tcPr>
          <w:p>
            <w:pPr>
              <w:spacing w:line="0" w:lineRule="atLeast"/>
              <w:jc w:val="center"/>
              <w:rPr>
                <w:rFonts w:ascii="宋体" w:hAnsi="宋体" w:cs="宋体"/>
              </w:rPr>
            </w:pPr>
            <w:r>
              <w:rPr>
                <w:rFonts w:hint="eastAsia" w:ascii="宋体" w:hAnsi="宋体" w:cs="宋体"/>
              </w:rPr>
              <w:t>纵向弯曲试验</w:t>
            </w:r>
          </w:p>
        </w:tc>
        <w:tc>
          <w:tcPr>
            <w:tcW w:w="1755" w:type="pct"/>
          </w:tcPr>
          <w:p>
            <w:pPr>
              <w:spacing w:line="0" w:lineRule="atLeast"/>
              <w:jc w:val="center"/>
              <w:rPr>
                <w:rFonts w:ascii="宋体" w:hAnsi="宋体" w:cs="宋体"/>
              </w:rPr>
            </w:pPr>
            <w:r>
              <w:rPr>
                <w:rFonts w:hint="eastAsia" w:ascii="宋体" w:hAnsi="宋体" w:cs="宋体"/>
              </w:rPr>
              <w:t>弯曲至180°，裂纹不超过3mm</w:t>
            </w:r>
          </w:p>
        </w:tc>
        <w:tc>
          <w:tcPr>
            <w:tcW w:w="1667" w:type="pct"/>
          </w:tcPr>
          <w:p>
            <w:pPr>
              <w:spacing w:line="0" w:lineRule="atLeast"/>
              <w:jc w:val="center"/>
              <w:rPr>
                <w:rFonts w:ascii="宋体" w:hAnsi="宋体" w:cs="宋体"/>
              </w:rPr>
            </w:pPr>
            <w:r>
              <w:rPr>
                <w:rFonts w:hint="eastAsia" w:ascii="宋体" w:hAnsi="宋体" w:cs="宋体"/>
              </w:rPr>
              <w:t>弯曲至180°，裂纹不超过3mm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pct"/>
          </w:tcPr>
          <w:p>
            <w:pPr>
              <w:spacing w:line="0" w:lineRule="atLeast"/>
              <w:jc w:val="center"/>
              <w:rPr>
                <w:rFonts w:ascii="宋体" w:hAnsi="宋体" w:cs="宋体"/>
              </w:rPr>
            </w:pPr>
            <w:r>
              <w:rPr>
                <w:rFonts w:hint="eastAsia" w:ascii="宋体" w:hAnsi="宋体" w:cs="宋体"/>
              </w:rPr>
              <w:t>V型缺口夏比冲击试验</w:t>
            </w:r>
          </w:p>
        </w:tc>
        <w:tc>
          <w:tcPr>
            <w:tcW w:w="1755" w:type="pct"/>
          </w:tcPr>
          <w:p>
            <w:pPr>
              <w:spacing w:line="0" w:lineRule="atLeast"/>
              <w:jc w:val="center"/>
              <w:rPr>
                <w:rFonts w:ascii="宋体" w:hAnsi="宋体" w:cs="宋体"/>
              </w:rPr>
            </w:pPr>
            <w:r>
              <w:rPr>
                <w:rFonts w:hint="eastAsia" w:ascii="宋体" w:hAnsi="宋体" w:cs="宋体"/>
              </w:rPr>
              <w:t>-196℃，冲击功平均值≥60J</w:t>
            </w:r>
          </w:p>
        </w:tc>
        <w:tc>
          <w:tcPr>
            <w:tcW w:w="1667" w:type="pct"/>
          </w:tcPr>
          <w:p>
            <w:pPr>
              <w:spacing w:line="0" w:lineRule="atLeast"/>
              <w:jc w:val="center"/>
              <w:rPr>
                <w:rFonts w:ascii="宋体" w:hAnsi="宋体" w:cs="宋体"/>
              </w:rPr>
            </w:pPr>
            <w:r>
              <w:rPr>
                <w:rFonts w:hint="eastAsia" w:ascii="宋体" w:hAnsi="宋体" w:cs="宋体"/>
              </w:rPr>
              <w:t>-196℃，冲击功平均值≥60J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pct"/>
          </w:tcPr>
          <w:p>
            <w:pPr>
              <w:spacing w:line="0" w:lineRule="atLeast"/>
              <w:jc w:val="center"/>
              <w:rPr>
                <w:rFonts w:ascii="宋体" w:hAnsi="宋体" w:cs="宋体"/>
              </w:rPr>
            </w:pPr>
            <w:r>
              <w:rPr>
                <w:rFonts w:hint="eastAsia" w:ascii="宋体" w:hAnsi="宋体" w:cs="宋体"/>
              </w:rPr>
              <w:t>全焊缝拉伸试验</w:t>
            </w:r>
          </w:p>
        </w:tc>
        <w:tc>
          <w:tcPr>
            <w:tcW w:w="1755" w:type="pct"/>
          </w:tcPr>
          <w:p>
            <w:pPr>
              <w:spacing w:line="0" w:lineRule="atLeast"/>
              <w:jc w:val="center"/>
              <w:rPr>
                <w:rFonts w:ascii="宋体" w:hAnsi="宋体" w:cs="宋体"/>
              </w:rPr>
            </w:pPr>
            <w:r>
              <w:rPr>
                <w:rFonts w:hint="eastAsia" w:ascii="宋体" w:hAnsi="宋体" w:cs="宋体"/>
              </w:rPr>
              <w:t>抗拉强度≥560MPa</w:t>
            </w:r>
          </w:p>
          <w:p>
            <w:pPr>
              <w:spacing w:line="0" w:lineRule="atLeast"/>
              <w:jc w:val="center"/>
              <w:rPr>
                <w:rFonts w:ascii="宋体" w:hAnsi="宋体" w:cs="宋体"/>
              </w:rPr>
            </w:pPr>
            <w:r>
              <w:rPr>
                <w:rFonts w:hint="eastAsia" w:ascii="宋体" w:hAnsi="宋体" w:cs="宋体"/>
              </w:rPr>
              <w:t>屈服强度≥410MPa</w:t>
            </w:r>
          </w:p>
        </w:tc>
        <w:tc>
          <w:tcPr>
            <w:tcW w:w="1667" w:type="pct"/>
          </w:tcPr>
          <w:p>
            <w:pPr>
              <w:spacing w:line="0" w:lineRule="atLeast"/>
              <w:jc w:val="center"/>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pct"/>
          </w:tcPr>
          <w:p>
            <w:pPr>
              <w:spacing w:line="0" w:lineRule="atLeast"/>
              <w:jc w:val="center"/>
              <w:rPr>
                <w:rFonts w:ascii="宋体" w:hAnsi="宋体" w:cs="宋体"/>
              </w:rPr>
            </w:pPr>
            <w:r>
              <w:rPr>
                <w:rFonts w:hint="eastAsia" w:ascii="宋体" w:hAnsi="宋体" w:cs="宋体"/>
              </w:rPr>
              <w:t>熔覆金属全焊缝拉伸试验</w:t>
            </w:r>
          </w:p>
        </w:tc>
        <w:tc>
          <w:tcPr>
            <w:tcW w:w="1755" w:type="pct"/>
          </w:tcPr>
          <w:p>
            <w:pPr>
              <w:spacing w:line="0" w:lineRule="atLeast"/>
              <w:jc w:val="center"/>
              <w:rPr>
                <w:rFonts w:ascii="宋体" w:hAnsi="宋体" w:cs="宋体"/>
              </w:rPr>
            </w:pPr>
            <w:r>
              <w:rPr>
                <w:rFonts w:hint="eastAsia" w:ascii="宋体" w:hAnsi="宋体" w:cs="宋体"/>
              </w:rPr>
              <w:t>/</w:t>
            </w:r>
          </w:p>
        </w:tc>
        <w:tc>
          <w:tcPr>
            <w:tcW w:w="1667" w:type="pct"/>
          </w:tcPr>
          <w:p>
            <w:pPr>
              <w:spacing w:line="0" w:lineRule="atLeast"/>
              <w:jc w:val="center"/>
              <w:rPr>
                <w:rFonts w:ascii="宋体" w:hAnsi="宋体" w:cs="宋体"/>
              </w:rPr>
            </w:pPr>
            <w:r>
              <w:rPr>
                <w:rFonts w:hint="eastAsia" w:ascii="宋体" w:hAnsi="宋体" w:cs="宋体"/>
              </w:rPr>
              <w:t>抗拉强度≥690MPa</w:t>
            </w:r>
          </w:p>
          <w:p>
            <w:pPr>
              <w:spacing w:line="0" w:lineRule="atLeast"/>
              <w:jc w:val="center"/>
              <w:rPr>
                <w:rFonts w:ascii="宋体" w:hAnsi="宋体" w:cs="宋体"/>
              </w:rPr>
            </w:pPr>
            <w:r>
              <w:rPr>
                <w:rFonts w:hint="eastAsia" w:ascii="宋体" w:hAnsi="宋体" w:cs="宋体"/>
              </w:rPr>
              <w:t>屈服强度≥420MPa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pct"/>
          </w:tcPr>
          <w:p>
            <w:pPr>
              <w:spacing w:line="0" w:lineRule="atLeast"/>
              <w:jc w:val="center"/>
              <w:rPr>
                <w:rFonts w:ascii="宋体" w:hAnsi="宋体" w:cs="宋体"/>
              </w:rPr>
            </w:pPr>
            <w:r>
              <w:rPr>
                <w:rFonts w:hint="eastAsia" w:ascii="宋体" w:hAnsi="宋体" w:cs="宋体"/>
              </w:rPr>
              <w:t>硬度试验</w:t>
            </w:r>
          </w:p>
        </w:tc>
        <w:tc>
          <w:tcPr>
            <w:tcW w:w="1755" w:type="pct"/>
          </w:tcPr>
          <w:p>
            <w:pPr>
              <w:spacing w:line="0" w:lineRule="atLeast"/>
              <w:jc w:val="center"/>
              <w:rPr>
                <w:rFonts w:ascii="宋体" w:hAnsi="宋体" w:cs="宋体"/>
              </w:rPr>
            </w:pPr>
            <w:r>
              <w:rPr>
                <w:rFonts w:hint="eastAsia" w:ascii="宋体" w:hAnsi="宋体" w:cs="宋体"/>
              </w:rPr>
              <w:t>维氏硬度≤400HV</w:t>
            </w:r>
          </w:p>
        </w:tc>
        <w:tc>
          <w:tcPr>
            <w:tcW w:w="1667" w:type="pct"/>
          </w:tcPr>
          <w:p>
            <w:pPr>
              <w:spacing w:line="0" w:lineRule="atLeast"/>
              <w:jc w:val="center"/>
              <w:rPr>
                <w:rFonts w:ascii="宋体" w:hAnsi="宋体" w:cs="宋体"/>
              </w:rPr>
            </w:pPr>
            <w:r>
              <w:rPr>
                <w:rFonts w:hint="eastAsia" w:ascii="宋体" w:hAnsi="宋体" w:cs="宋体"/>
              </w:rPr>
              <w:t>维氏硬度≤400HV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pct"/>
          </w:tcPr>
          <w:p>
            <w:pPr>
              <w:spacing w:line="0" w:lineRule="atLeast"/>
              <w:jc w:val="center"/>
              <w:rPr>
                <w:rFonts w:ascii="宋体" w:hAnsi="宋体" w:cs="宋体"/>
              </w:rPr>
            </w:pPr>
            <w:r>
              <w:rPr>
                <w:rFonts w:hint="eastAsia" w:ascii="宋体" w:hAnsi="宋体" w:cs="宋体"/>
              </w:rPr>
              <w:t>宏观金相</w:t>
            </w:r>
          </w:p>
        </w:tc>
        <w:tc>
          <w:tcPr>
            <w:tcW w:w="1755" w:type="pct"/>
          </w:tcPr>
          <w:p>
            <w:pPr>
              <w:spacing w:line="0" w:lineRule="atLeast"/>
              <w:jc w:val="center"/>
              <w:rPr>
                <w:rFonts w:ascii="宋体" w:hAnsi="宋体" w:cs="宋体"/>
              </w:rPr>
            </w:pPr>
            <w:r>
              <w:rPr>
                <w:rFonts w:hint="eastAsia" w:ascii="宋体" w:hAnsi="宋体" w:cs="宋体"/>
              </w:rPr>
              <w:t>无气孔、夹渣、裂纹、未熔合等缺陷</w:t>
            </w:r>
          </w:p>
        </w:tc>
        <w:tc>
          <w:tcPr>
            <w:tcW w:w="1667" w:type="pct"/>
          </w:tcPr>
          <w:p>
            <w:pPr>
              <w:spacing w:line="0" w:lineRule="atLeast"/>
              <w:jc w:val="center"/>
              <w:rPr>
                <w:rFonts w:ascii="宋体" w:hAnsi="宋体" w:cs="宋体"/>
              </w:rPr>
            </w:pPr>
            <w:r>
              <w:rPr>
                <w:rFonts w:hint="eastAsia" w:ascii="宋体" w:hAnsi="宋体" w:cs="宋体"/>
              </w:rPr>
              <w:t>无气孔、夹渣、裂纹、未熔合等缺陷</w:t>
            </w:r>
          </w:p>
        </w:tc>
      </w:tr>
    </w:tbl>
    <w:p>
      <w:pPr>
        <w:rPr>
          <w:rFonts w:ascii="黑体" w:hAnsi="宋体" w:eastAsia="黑体"/>
          <w:sz w:val="32"/>
          <w:szCs w:val="32"/>
        </w:rPr>
      </w:pPr>
    </w:p>
    <w:p>
      <w:pPr>
        <w:rPr>
          <w:rFonts w:ascii="黑体" w:hAnsi="宋体" w:eastAsia="黑体"/>
          <w:sz w:val="32"/>
          <w:szCs w:val="32"/>
        </w:rPr>
      </w:pPr>
    </w:p>
    <w:p>
      <w:pPr>
        <w:rPr>
          <w:rFonts w:ascii="黑体" w:hAnsi="宋体" w:eastAsia="黑体"/>
          <w:sz w:val="32"/>
          <w:szCs w:val="32"/>
        </w:rPr>
      </w:pPr>
    </w:p>
    <w:p>
      <w:pPr>
        <w:rPr>
          <w:rFonts w:ascii="黑体" w:hAnsi="宋体" w:eastAsia="黑体"/>
          <w:sz w:val="32"/>
          <w:szCs w:val="32"/>
        </w:rPr>
      </w:pPr>
      <w:r>
        <w:rPr>
          <w:rFonts w:hint="eastAsia" w:ascii="黑体" w:hAnsi="宋体" w:eastAsia="黑体"/>
          <w:sz w:val="32"/>
          <w:szCs w:val="32"/>
        </w:rPr>
        <w:br w:type="page"/>
      </w:r>
    </w:p>
    <w:p>
      <w:pPr>
        <w:pageBreakBefore/>
        <w:spacing w:before="600" w:after="520" w:line="360" w:lineRule="auto"/>
        <w:ind w:right="215"/>
        <w:jc w:val="center"/>
        <w:rPr>
          <w:rFonts w:ascii="黑体" w:hAnsi="宋体" w:eastAsia="黑体"/>
          <w:sz w:val="32"/>
          <w:szCs w:val="32"/>
        </w:rPr>
      </w:pPr>
      <w:r>
        <w:rPr>
          <w:rFonts w:hint="eastAsia" w:ascii="黑体" w:hAnsi="宋体" w:eastAsia="黑体"/>
          <w:sz w:val="32"/>
          <w:szCs w:val="32"/>
        </w:rPr>
        <w:t>本规范用词说明</w:t>
      </w:r>
      <w:bookmarkEnd w:id="52"/>
    </w:p>
    <w:p>
      <w:pPr>
        <w:spacing w:line="312" w:lineRule="exact"/>
        <w:ind w:right="215"/>
        <w:rPr>
          <w:rFonts w:asciiTheme="minorEastAsia" w:hAnsiTheme="minorEastAsia"/>
        </w:rPr>
      </w:pPr>
      <w:r>
        <w:rPr>
          <w:rFonts w:hint="eastAsia" w:asciiTheme="minorEastAsia" w:hAnsiTheme="minorEastAsia"/>
        </w:rPr>
        <w:t>1  为便于在执行本规范条文时区别对待，对于要求严格程度不同的用词说明如下：</w:t>
      </w:r>
    </w:p>
    <w:p>
      <w:pPr>
        <w:spacing w:line="312" w:lineRule="exact"/>
        <w:ind w:right="215" w:firstLine="840" w:firstLineChars="400"/>
        <w:rPr>
          <w:rFonts w:asciiTheme="minorEastAsia" w:hAnsiTheme="minorEastAsia"/>
        </w:rPr>
      </w:pPr>
      <w:r>
        <w:rPr>
          <w:rFonts w:asciiTheme="minorEastAsia" w:hAnsiTheme="minorEastAsia"/>
        </w:rPr>
        <w:t>1)</w:t>
      </w:r>
      <w:r>
        <w:rPr>
          <w:rFonts w:hint="eastAsia" w:asciiTheme="minorEastAsia" w:hAnsiTheme="minorEastAsia"/>
        </w:rPr>
        <w:t xml:space="preserve"> 表示很严格，非这样做不可的：</w:t>
      </w:r>
    </w:p>
    <w:p>
      <w:pPr>
        <w:spacing w:line="312" w:lineRule="exact"/>
        <w:ind w:right="215" w:firstLine="840" w:firstLineChars="400"/>
        <w:rPr>
          <w:rFonts w:asciiTheme="minorEastAsia" w:hAnsiTheme="minorEastAsia"/>
        </w:rPr>
      </w:pPr>
      <w:r>
        <w:rPr>
          <w:rFonts w:hint="eastAsia" w:asciiTheme="minorEastAsia" w:hAnsiTheme="minorEastAsia"/>
        </w:rPr>
        <w:t>正面词采用“必须”，反面词采用“严禁”；</w:t>
      </w:r>
    </w:p>
    <w:p>
      <w:pPr>
        <w:spacing w:line="312" w:lineRule="exact"/>
        <w:ind w:right="215" w:firstLine="840" w:firstLineChars="400"/>
        <w:rPr>
          <w:rFonts w:asciiTheme="minorEastAsia" w:hAnsiTheme="minorEastAsia"/>
        </w:rPr>
      </w:pPr>
      <w:r>
        <w:rPr>
          <w:rFonts w:hint="eastAsia" w:asciiTheme="minorEastAsia" w:hAnsiTheme="minorEastAsia"/>
        </w:rPr>
        <w:t>2</w:t>
      </w:r>
      <w:r>
        <w:rPr>
          <w:rFonts w:asciiTheme="minorEastAsia" w:hAnsiTheme="minorEastAsia"/>
        </w:rPr>
        <w:t>)</w:t>
      </w:r>
      <w:r>
        <w:rPr>
          <w:rFonts w:hint="eastAsia" w:asciiTheme="minorEastAsia" w:hAnsiTheme="minorEastAsia"/>
        </w:rPr>
        <w:t xml:space="preserve"> 表示严格，在正常情况下均这样做的：</w:t>
      </w:r>
    </w:p>
    <w:p>
      <w:pPr>
        <w:spacing w:line="312" w:lineRule="exact"/>
        <w:ind w:right="215" w:firstLine="840" w:firstLineChars="400"/>
        <w:rPr>
          <w:rFonts w:asciiTheme="minorEastAsia" w:hAnsiTheme="minorEastAsia"/>
        </w:rPr>
      </w:pPr>
      <w:r>
        <w:rPr>
          <w:rFonts w:hint="eastAsia" w:asciiTheme="minorEastAsia" w:hAnsiTheme="minorEastAsia"/>
        </w:rPr>
        <w:t>正面词采用“应”，反面词采用“不应”或“不得”；</w:t>
      </w:r>
    </w:p>
    <w:p>
      <w:pPr>
        <w:spacing w:line="312" w:lineRule="exact"/>
        <w:ind w:right="215" w:firstLine="840" w:firstLineChars="400"/>
        <w:rPr>
          <w:rFonts w:asciiTheme="minorEastAsia" w:hAnsiTheme="minorEastAsia"/>
        </w:rPr>
      </w:pPr>
      <w:r>
        <w:rPr>
          <w:rFonts w:hint="eastAsia" w:asciiTheme="minorEastAsia" w:hAnsiTheme="minorEastAsia"/>
        </w:rPr>
        <w:t>3）表示允许稍有选择，在条件许可时首先应这样做的：</w:t>
      </w:r>
    </w:p>
    <w:p>
      <w:pPr>
        <w:spacing w:line="312" w:lineRule="exact"/>
        <w:ind w:right="215" w:firstLine="840" w:firstLineChars="400"/>
        <w:rPr>
          <w:rFonts w:asciiTheme="minorEastAsia" w:hAnsiTheme="minorEastAsia"/>
        </w:rPr>
      </w:pPr>
      <w:r>
        <w:rPr>
          <w:rFonts w:hint="eastAsia" w:asciiTheme="minorEastAsia" w:hAnsiTheme="minorEastAsia"/>
        </w:rPr>
        <w:t>正面词采用“宜” ，反面词采用“不宜”；</w:t>
      </w:r>
    </w:p>
    <w:p>
      <w:pPr>
        <w:spacing w:line="312" w:lineRule="exact"/>
        <w:ind w:right="215" w:firstLine="840" w:firstLineChars="400"/>
        <w:rPr>
          <w:rFonts w:asciiTheme="minorEastAsia" w:hAnsiTheme="minorEastAsia"/>
        </w:rPr>
      </w:pPr>
      <w:r>
        <w:rPr>
          <w:rFonts w:hint="eastAsia" w:asciiTheme="minorEastAsia" w:hAnsiTheme="minorEastAsia"/>
        </w:rPr>
        <w:t xml:space="preserve"> 4）表示有选择，在一定条件下可以这样做的，采用“可”。</w:t>
      </w:r>
    </w:p>
    <w:p>
      <w:pPr>
        <w:spacing w:line="312" w:lineRule="exact"/>
        <w:ind w:right="215"/>
        <w:rPr>
          <w:rFonts w:asciiTheme="minorEastAsia" w:hAnsiTheme="minorEastAsia"/>
        </w:rPr>
      </w:pPr>
      <w:r>
        <w:rPr>
          <w:rFonts w:hint="eastAsia" w:asciiTheme="minorEastAsia" w:hAnsiTheme="minorEastAsia"/>
        </w:rPr>
        <w:t>2  条文中指明应按其他有关标准执行的写法为：“应符合</w:t>
      </w:r>
      <w:r>
        <w:rPr>
          <w:rFonts w:asciiTheme="minorEastAsia" w:hAnsiTheme="minorEastAsia"/>
        </w:rPr>
        <w:t>……</w:t>
      </w:r>
      <w:r>
        <w:rPr>
          <w:rFonts w:hint="eastAsia" w:asciiTheme="minorEastAsia" w:hAnsiTheme="minorEastAsia"/>
        </w:rPr>
        <w:t>.的规定”或“应按</w:t>
      </w:r>
      <w:r>
        <w:rPr>
          <w:rFonts w:asciiTheme="minorEastAsia" w:hAnsiTheme="minorEastAsia"/>
        </w:rPr>
        <w:t>……</w:t>
      </w:r>
      <w:r>
        <w:rPr>
          <w:rFonts w:hint="eastAsia" w:asciiTheme="minorEastAsia" w:hAnsiTheme="minorEastAsia"/>
        </w:rPr>
        <w:t>执行”。</w:t>
      </w:r>
    </w:p>
    <w:p>
      <w:pPr>
        <w:pStyle w:val="65"/>
        <w:ind w:firstLine="420"/>
        <w:rPr>
          <w:rFonts w:ascii="宋体" w:hAnsi="宋体"/>
          <w:sz w:val="21"/>
        </w:rPr>
      </w:pPr>
    </w:p>
    <w:sectPr>
      <w:pgSz w:w="11906" w:h="16838"/>
      <w:pgMar w:top="1440" w:right="1440" w:bottom="1440" w:left="144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709979"/>
    </w:sdtPr>
    <w:sdtContent>
      <w:p>
        <w:pPr>
          <w:pStyle w:val="19"/>
          <w:jc w:val="center"/>
        </w:pPr>
        <w:r>
          <w:fldChar w:fldCharType="begin"/>
        </w:r>
        <w:r>
          <w:instrText xml:space="preserve"> PAGE   \* MERGEFORMAT </w:instrText>
        </w:r>
        <w:r>
          <w:fldChar w:fldCharType="separate"/>
        </w:r>
        <w:r>
          <w:rPr>
            <w:lang w:val="zh-CN"/>
          </w:rPr>
          <w:t>17</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7"/>
      <w:lvlText w:val=""/>
      <w:lvlJc w:val="left"/>
      <w:pPr>
        <w:tabs>
          <w:tab w:val="left" w:pos="360"/>
        </w:tabs>
        <w:ind w:left="360" w:hanging="360" w:hangingChars="200"/>
      </w:pPr>
      <w:rPr>
        <w:rFonts w:hint="default" w:ascii="Wingdings" w:hAnsi="Wingdings"/>
      </w:rPr>
    </w:lvl>
  </w:abstractNum>
  <w:abstractNum w:abstractNumId="1">
    <w:nsid w:val="48702BEF"/>
    <w:multiLevelType w:val="multilevel"/>
    <w:tmpl w:val="48702BEF"/>
    <w:lvl w:ilvl="0" w:tentative="0">
      <w:start w:val="1"/>
      <w:numFmt w:val="decimal"/>
      <w:pStyle w:val="100"/>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51A97CCC"/>
    <w:multiLevelType w:val="multilevel"/>
    <w:tmpl w:val="51A97CCC"/>
    <w:lvl w:ilvl="0" w:tentative="0">
      <w:start w:val="1"/>
      <w:numFmt w:val="lowerLetter"/>
      <w:lvlText w:val="%1)"/>
      <w:lvlJc w:val="left"/>
      <w:pPr>
        <w:ind w:left="567" w:hanging="14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3NjAzNGU0ZWJlYTZiZjIwZWY1NWExZGY5NmY3ZTkifQ=="/>
  </w:docVars>
  <w:rsids>
    <w:rsidRoot w:val="00172A27"/>
    <w:rsid w:val="00000715"/>
    <w:rsid w:val="00000A7C"/>
    <w:rsid w:val="000023E6"/>
    <w:rsid w:val="00003E02"/>
    <w:rsid w:val="00004E80"/>
    <w:rsid w:val="00005D33"/>
    <w:rsid w:val="000060AB"/>
    <w:rsid w:val="0000676E"/>
    <w:rsid w:val="000067B3"/>
    <w:rsid w:val="00006A4C"/>
    <w:rsid w:val="00006D5E"/>
    <w:rsid w:val="0000774A"/>
    <w:rsid w:val="00007797"/>
    <w:rsid w:val="00007AFF"/>
    <w:rsid w:val="00007C4B"/>
    <w:rsid w:val="00007E93"/>
    <w:rsid w:val="00010007"/>
    <w:rsid w:val="0001046C"/>
    <w:rsid w:val="000107E3"/>
    <w:rsid w:val="0001125D"/>
    <w:rsid w:val="00011AB3"/>
    <w:rsid w:val="000120E3"/>
    <w:rsid w:val="00012D37"/>
    <w:rsid w:val="0001381E"/>
    <w:rsid w:val="00014C02"/>
    <w:rsid w:val="00014C06"/>
    <w:rsid w:val="000156BE"/>
    <w:rsid w:val="00015ED9"/>
    <w:rsid w:val="000161CA"/>
    <w:rsid w:val="00016364"/>
    <w:rsid w:val="000163F8"/>
    <w:rsid w:val="000165FE"/>
    <w:rsid w:val="00016CFB"/>
    <w:rsid w:val="000201E4"/>
    <w:rsid w:val="0002049B"/>
    <w:rsid w:val="000208E0"/>
    <w:rsid w:val="00020FEF"/>
    <w:rsid w:val="000211B2"/>
    <w:rsid w:val="000219AA"/>
    <w:rsid w:val="00021A5D"/>
    <w:rsid w:val="0002553C"/>
    <w:rsid w:val="000255B7"/>
    <w:rsid w:val="000256B1"/>
    <w:rsid w:val="00025E26"/>
    <w:rsid w:val="00025EA8"/>
    <w:rsid w:val="0002757A"/>
    <w:rsid w:val="000276F1"/>
    <w:rsid w:val="000278C2"/>
    <w:rsid w:val="00027C21"/>
    <w:rsid w:val="00030065"/>
    <w:rsid w:val="000300E7"/>
    <w:rsid w:val="000306CF"/>
    <w:rsid w:val="0003082F"/>
    <w:rsid w:val="00030BF4"/>
    <w:rsid w:val="00031FA0"/>
    <w:rsid w:val="0003211D"/>
    <w:rsid w:val="0003285C"/>
    <w:rsid w:val="00032DD9"/>
    <w:rsid w:val="00032E0B"/>
    <w:rsid w:val="000338D7"/>
    <w:rsid w:val="000349FC"/>
    <w:rsid w:val="00034E6F"/>
    <w:rsid w:val="000354CD"/>
    <w:rsid w:val="0003556B"/>
    <w:rsid w:val="000358AB"/>
    <w:rsid w:val="000358FF"/>
    <w:rsid w:val="000359D1"/>
    <w:rsid w:val="00035AF8"/>
    <w:rsid w:val="00036BCD"/>
    <w:rsid w:val="00037337"/>
    <w:rsid w:val="0004053F"/>
    <w:rsid w:val="000408C5"/>
    <w:rsid w:val="00040E71"/>
    <w:rsid w:val="00041692"/>
    <w:rsid w:val="0004255A"/>
    <w:rsid w:val="000425E1"/>
    <w:rsid w:val="00042DBD"/>
    <w:rsid w:val="00043578"/>
    <w:rsid w:val="00043C83"/>
    <w:rsid w:val="00044208"/>
    <w:rsid w:val="00044D5D"/>
    <w:rsid w:val="000450C0"/>
    <w:rsid w:val="00045595"/>
    <w:rsid w:val="00045D78"/>
    <w:rsid w:val="00045E21"/>
    <w:rsid w:val="0004659C"/>
    <w:rsid w:val="00047022"/>
    <w:rsid w:val="000473DB"/>
    <w:rsid w:val="00047901"/>
    <w:rsid w:val="00047F99"/>
    <w:rsid w:val="000501DC"/>
    <w:rsid w:val="00051765"/>
    <w:rsid w:val="000523C8"/>
    <w:rsid w:val="0005328D"/>
    <w:rsid w:val="0005419B"/>
    <w:rsid w:val="000546B8"/>
    <w:rsid w:val="000555C2"/>
    <w:rsid w:val="00055E0D"/>
    <w:rsid w:val="00055EC9"/>
    <w:rsid w:val="0005626A"/>
    <w:rsid w:val="00056768"/>
    <w:rsid w:val="000568C4"/>
    <w:rsid w:val="00056AE2"/>
    <w:rsid w:val="00056EE9"/>
    <w:rsid w:val="00057E72"/>
    <w:rsid w:val="00060176"/>
    <w:rsid w:val="000606C8"/>
    <w:rsid w:val="000606CC"/>
    <w:rsid w:val="00060E2B"/>
    <w:rsid w:val="000618DB"/>
    <w:rsid w:val="0006249A"/>
    <w:rsid w:val="0006279F"/>
    <w:rsid w:val="00062FCA"/>
    <w:rsid w:val="000633DB"/>
    <w:rsid w:val="0006390D"/>
    <w:rsid w:val="00063DBC"/>
    <w:rsid w:val="00063EC6"/>
    <w:rsid w:val="00064808"/>
    <w:rsid w:val="000648C3"/>
    <w:rsid w:val="00064A4C"/>
    <w:rsid w:val="00064F21"/>
    <w:rsid w:val="00065450"/>
    <w:rsid w:val="00065950"/>
    <w:rsid w:val="00065F2D"/>
    <w:rsid w:val="000670E5"/>
    <w:rsid w:val="0006750D"/>
    <w:rsid w:val="00067E65"/>
    <w:rsid w:val="0007004E"/>
    <w:rsid w:val="00070120"/>
    <w:rsid w:val="000704B1"/>
    <w:rsid w:val="000706D5"/>
    <w:rsid w:val="000708DE"/>
    <w:rsid w:val="0007098F"/>
    <w:rsid w:val="00070B47"/>
    <w:rsid w:val="0007140D"/>
    <w:rsid w:val="00071665"/>
    <w:rsid w:val="00071CA1"/>
    <w:rsid w:val="00071CEC"/>
    <w:rsid w:val="00072043"/>
    <w:rsid w:val="000726C5"/>
    <w:rsid w:val="00072A3B"/>
    <w:rsid w:val="00072DAA"/>
    <w:rsid w:val="00072F63"/>
    <w:rsid w:val="00073575"/>
    <w:rsid w:val="00073DB2"/>
    <w:rsid w:val="00074074"/>
    <w:rsid w:val="00074192"/>
    <w:rsid w:val="00074219"/>
    <w:rsid w:val="000748DB"/>
    <w:rsid w:val="0007507A"/>
    <w:rsid w:val="00076243"/>
    <w:rsid w:val="00077654"/>
    <w:rsid w:val="000777FC"/>
    <w:rsid w:val="00077833"/>
    <w:rsid w:val="000801D3"/>
    <w:rsid w:val="00080284"/>
    <w:rsid w:val="0008081E"/>
    <w:rsid w:val="000808E3"/>
    <w:rsid w:val="00080938"/>
    <w:rsid w:val="00080C2E"/>
    <w:rsid w:val="00081019"/>
    <w:rsid w:val="0008203D"/>
    <w:rsid w:val="000821FB"/>
    <w:rsid w:val="000834DE"/>
    <w:rsid w:val="00083771"/>
    <w:rsid w:val="000839A6"/>
    <w:rsid w:val="00083EAE"/>
    <w:rsid w:val="000842A6"/>
    <w:rsid w:val="0008430B"/>
    <w:rsid w:val="00084361"/>
    <w:rsid w:val="000851F4"/>
    <w:rsid w:val="00085E41"/>
    <w:rsid w:val="00086AFF"/>
    <w:rsid w:val="00086F0F"/>
    <w:rsid w:val="00087147"/>
    <w:rsid w:val="00087510"/>
    <w:rsid w:val="000878FD"/>
    <w:rsid w:val="00087900"/>
    <w:rsid w:val="00087D13"/>
    <w:rsid w:val="00090CA7"/>
    <w:rsid w:val="00091960"/>
    <w:rsid w:val="0009236E"/>
    <w:rsid w:val="000927F0"/>
    <w:rsid w:val="00092C9E"/>
    <w:rsid w:val="00092D0D"/>
    <w:rsid w:val="00092FC8"/>
    <w:rsid w:val="0009386E"/>
    <w:rsid w:val="00093E60"/>
    <w:rsid w:val="00094006"/>
    <w:rsid w:val="00094281"/>
    <w:rsid w:val="00094796"/>
    <w:rsid w:val="000955F8"/>
    <w:rsid w:val="000957B6"/>
    <w:rsid w:val="0009595A"/>
    <w:rsid w:val="00095F08"/>
    <w:rsid w:val="00095FA7"/>
    <w:rsid w:val="0009605E"/>
    <w:rsid w:val="0009617B"/>
    <w:rsid w:val="00096370"/>
    <w:rsid w:val="000976EA"/>
    <w:rsid w:val="00097AED"/>
    <w:rsid w:val="00097DC8"/>
    <w:rsid w:val="00097F18"/>
    <w:rsid w:val="000A0382"/>
    <w:rsid w:val="000A050F"/>
    <w:rsid w:val="000A093F"/>
    <w:rsid w:val="000A11F1"/>
    <w:rsid w:val="000A13AC"/>
    <w:rsid w:val="000A1709"/>
    <w:rsid w:val="000A2491"/>
    <w:rsid w:val="000A32B1"/>
    <w:rsid w:val="000A34D9"/>
    <w:rsid w:val="000A3585"/>
    <w:rsid w:val="000A3B1A"/>
    <w:rsid w:val="000A4390"/>
    <w:rsid w:val="000A4517"/>
    <w:rsid w:val="000A4639"/>
    <w:rsid w:val="000A51B2"/>
    <w:rsid w:val="000A5255"/>
    <w:rsid w:val="000A6528"/>
    <w:rsid w:val="000A68B0"/>
    <w:rsid w:val="000A6E6C"/>
    <w:rsid w:val="000A71EF"/>
    <w:rsid w:val="000A7CCD"/>
    <w:rsid w:val="000A7F09"/>
    <w:rsid w:val="000B0266"/>
    <w:rsid w:val="000B0349"/>
    <w:rsid w:val="000B0A93"/>
    <w:rsid w:val="000B1553"/>
    <w:rsid w:val="000B1C67"/>
    <w:rsid w:val="000B25BD"/>
    <w:rsid w:val="000B28F7"/>
    <w:rsid w:val="000B2E6D"/>
    <w:rsid w:val="000B2FB7"/>
    <w:rsid w:val="000B337E"/>
    <w:rsid w:val="000B35E6"/>
    <w:rsid w:val="000B3A6A"/>
    <w:rsid w:val="000B4198"/>
    <w:rsid w:val="000B4A5F"/>
    <w:rsid w:val="000B510F"/>
    <w:rsid w:val="000B5822"/>
    <w:rsid w:val="000B5AE6"/>
    <w:rsid w:val="000B6754"/>
    <w:rsid w:val="000B675B"/>
    <w:rsid w:val="000B6850"/>
    <w:rsid w:val="000B7108"/>
    <w:rsid w:val="000B7480"/>
    <w:rsid w:val="000B78A3"/>
    <w:rsid w:val="000B7A72"/>
    <w:rsid w:val="000B7C71"/>
    <w:rsid w:val="000B7D28"/>
    <w:rsid w:val="000B7DF0"/>
    <w:rsid w:val="000C00BB"/>
    <w:rsid w:val="000C0270"/>
    <w:rsid w:val="000C0325"/>
    <w:rsid w:val="000C04BD"/>
    <w:rsid w:val="000C0984"/>
    <w:rsid w:val="000C10EC"/>
    <w:rsid w:val="000C1945"/>
    <w:rsid w:val="000C1AAA"/>
    <w:rsid w:val="000C1F79"/>
    <w:rsid w:val="000C213D"/>
    <w:rsid w:val="000C22C5"/>
    <w:rsid w:val="000C3112"/>
    <w:rsid w:val="000C40D4"/>
    <w:rsid w:val="000C416F"/>
    <w:rsid w:val="000C4287"/>
    <w:rsid w:val="000C4303"/>
    <w:rsid w:val="000C43A9"/>
    <w:rsid w:val="000C475A"/>
    <w:rsid w:val="000C4918"/>
    <w:rsid w:val="000C4F6C"/>
    <w:rsid w:val="000C4FBB"/>
    <w:rsid w:val="000C528A"/>
    <w:rsid w:val="000C5421"/>
    <w:rsid w:val="000C56A6"/>
    <w:rsid w:val="000C58B9"/>
    <w:rsid w:val="000C5EF2"/>
    <w:rsid w:val="000C6002"/>
    <w:rsid w:val="000C625E"/>
    <w:rsid w:val="000C68F0"/>
    <w:rsid w:val="000C69C7"/>
    <w:rsid w:val="000C6C63"/>
    <w:rsid w:val="000C7366"/>
    <w:rsid w:val="000C7FC6"/>
    <w:rsid w:val="000D025B"/>
    <w:rsid w:val="000D02CF"/>
    <w:rsid w:val="000D0749"/>
    <w:rsid w:val="000D1323"/>
    <w:rsid w:val="000D1D72"/>
    <w:rsid w:val="000D1F0E"/>
    <w:rsid w:val="000D2331"/>
    <w:rsid w:val="000D3663"/>
    <w:rsid w:val="000D3C01"/>
    <w:rsid w:val="000D40CE"/>
    <w:rsid w:val="000D44A2"/>
    <w:rsid w:val="000D4DBE"/>
    <w:rsid w:val="000D5058"/>
    <w:rsid w:val="000D50D3"/>
    <w:rsid w:val="000D5D04"/>
    <w:rsid w:val="000D63AD"/>
    <w:rsid w:val="000D6D62"/>
    <w:rsid w:val="000D6DE2"/>
    <w:rsid w:val="000D7389"/>
    <w:rsid w:val="000D7CB0"/>
    <w:rsid w:val="000E0182"/>
    <w:rsid w:val="000E0625"/>
    <w:rsid w:val="000E1240"/>
    <w:rsid w:val="000E1270"/>
    <w:rsid w:val="000E16DB"/>
    <w:rsid w:val="000E17E8"/>
    <w:rsid w:val="000E1F55"/>
    <w:rsid w:val="000E2A00"/>
    <w:rsid w:val="000E2D2A"/>
    <w:rsid w:val="000E335F"/>
    <w:rsid w:val="000E3940"/>
    <w:rsid w:val="000E3CB6"/>
    <w:rsid w:val="000E3E52"/>
    <w:rsid w:val="000E3E57"/>
    <w:rsid w:val="000E4064"/>
    <w:rsid w:val="000E408E"/>
    <w:rsid w:val="000E409A"/>
    <w:rsid w:val="000E43BA"/>
    <w:rsid w:val="000E48CC"/>
    <w:rsid w:val="000E580D"/>
    <w:rsid w:val="000E5B60"/>
    <w:rsid w:val="000E631C"/>
    <w:rsid w:val="000E63D3"/>
    <w:rsid w:val="000E69AF"/>
    <w:rsid w:val="000E6E8E"/>
    <w:rsid w:val="000E7552"/>
    <w:rsid w:val="000E75B2"/>
    <w:rsid w:val="000E77E0"/>
    <w:rsid w:val="000E7869"/>
    <w:rsid w:val="000F016E"/>
    <w:rsid w:val="000F0199"/>
    <w:rsid w:val="000F0B98"/>
    <w:rsid w:val="000F0DFB"/>
    <w:rsid w:val="000F0F01"/>
    <w:rsid w:val="000F10A1"/>
    <w:rsid w:val="000F1AD0"/>
    <w:rsid w:val="000F2831"/>
    <w:rsid w:val="000F2DAF"/>
    <w:rsid w:val="000F3667"/>
    <w:rsid w:val="000F3ACF"/>
    <w:rsid w:val="000F3B6C"/>
    <w:rsid w:val="000F3E09"/>
    <w:rsid w:val="000F44D5"/>
    <w:rsid w:val="000F52D1"/>
    <w:rsid w:val="000F5526"/>
    <w:rsid w:val="000F5720"/>
    <w:rsid w:val="000F59BA"/>
    <w:rsid w:val="000F5D0F"/>
    <w:rsid w:val="000F7633"/>
    <w:rsid w:val="000F7814"/>
    <w:rsid w:val="000F7DD1"/>
    <w:rsid w:val="000F7F1D"/>
    <w:rsid w:val="00100085"/>
    <w:rsid w:val="001002AB"/>
    <w:rsid w:val="001003AA"/>
    <w:rsid w:val="001004DC"/>
    <w:rsid w:val="0010076F"/>
    <w:rsid w:val="00100EC0"/>
    <w:rsid w:val="00100F51"/>
    <w:rsid w:val="0010316C"/>
    <w:rsid w:val="00103387"/>
    <w:rsid w:val="00103A79"/>
    <w:rsid w:val="00103E48"/>
    <w:rsid w:val="00103F24"/>
    <w:rsid w:val="001040CA"/>
    <w:rsid w:val="00104B00"/>
    <w:rsid w:val="00105091"/>
    <w:rsid w:val="00105814"/>
    <w:rsid w:val="00106397"/>
    <w:rsid w:val="001068EA"/>
    <w:rsid w:val="00106EDB"/>
    <w:rsid w:val="0010720F"/>
    <w:rsid w:val="001078B9"/>
    <w:rsid w:val="00107CC3"/>
    <w:rsid w:val="00110176"/>
    <w:rsid w:val="0011087B"/>
    <w:rsid w:val="00110FCF"/>
    <w:rsid w:val="00111FAD"/>
    <w:rsid w:val="00112B0C"/>
    <w:rsid w:val="0011318D"/>
    <w:rsid w:val="00113E48"/>
    <w:rsid w:val="00114684"/>
    <w:rsid w:val="0011580D"/>
    <w:rsid w:val="00116A28"/>
    <w:rsid w:val="00116B94"/>
    <w:rsid w:val="00116DE1"/>
    <w:rsid w:val="00117208"/>
    <w:rsid w:val="0011781F"/>
    <w:rsid w:val="0011796D"/>
    <w:rsid w:val="0012012D"/>
    <w:rsid w:val="0012096A"/>
    <w:rsid w:val="001209AE"/>
    <w:rsid w:val="001214C5"/>
    <w:rsid w:val="00121BB5"/>
    <w:rsid w:val="00121E57"/>
    <w:rsid w:val="0012271A"/>
    <w:rsid w:val="001231E0"/>
    <w:rsid w:val="00124A4F"/>
    <w:rsid w:val="00124CCC"/>
    <w:rsid w:val="00124D4A"/>
    <w:rsid w:val="00124F06"/>
    <w:rsid w:val="00125031"/>
    <w:rsid w:val="00125182"/>
    <w:rsid w:val="00125215"/>
    <w:rsid w:val="00125B24"/>
    <w:rsid w:val="00125CFC"/>
    <w:rsid w:val="00126415"/>
    <w:rsid w:val="001264B4"/>
    <w:rsid w:val="001271B9"/>
    <w:rsid w:val="001274D1"/>
    <w:rsid w:val="001301E2"/>
    <w:rsid w:val="00130B4A"/>
    <w:rsid w:val="001316AA"/>
    <w:rsid w:val="00131A8E"/>
    <w:rsid w:val="00131F84"/>
    <w:rsid w:val="001322B2"/>
    <w:rsid w:val="00132675"/>
    <w:rsid w:val="00132743"/>
    <w:rsid w:val="001327FA"/>
    <w:rsid w:val="00132DEC"/>
    <w:rsid w:val="001334A3"/>
    <w:rsid w:val="00133745"/>
    <w:rsid w:val="001339A9"/>
    <w:rsid w:val="001346C7"/>
    <w:rsid w:val="00134E6E"/>
    <w:rsid w:val="00135742"/>
    <w:rsid w:val="0013588B"/>
    <w:rsid w:val="00135F47"/>
    <w:rsid w:val="00135FD8"/>
    <w:rsid w:val="001364E1"/>
    <w:rsid w:val="0013681E"/>
    <w:rsid w:val="00136FD0"/>
    <w:rsid w:val="00137706"/>
    <w:rsid w:val="00137F98"/>
    <w:rsid w:val="00140248"/>
    <w:rsid w:val="001404B3"/>
    <w:rsid w:val="00140735"/>
    <w:rsid w:val="00140AF1"/>
    <w:rsid w:val="00140E4C"/>
    <w:rsid w:val="0014171B"/>
    <w:rsid w:val="001419CB"/>
    <w:rsid w:val="001419E5"/>
    <w:rsid w:val="00141AD2"/>
    <w:rsid w:val="0014224D"/>
    <w:rsid w:val="00142295"/>
    <w:rsid w:val="0014271D"/>
    <w:rsid w:val="00142736"/>
    <w:rsid w:val="001430F2"/>
    <w:rsid w:val="0014350B"/>
    <w:rsid w:val="0014358C"/>
    <w:rsid w:val="00143E64"/>
    <w:rsid w:val="00143FE2"/>
    <w:rsid w:val="0014444A"/>
    <w:rsid w:val="001458BB"/>
    <w:rsid w:val="00145BAD"/>
    <w:rsid w:val="00146AC9"/>
    <w:rsid w:val="001470B8"/>
    <w:rsid w:val="001473A8"/>
    <w:rsid w:val="00147926"/>
    <w:rsid w:val="00147F7E"/>
    <w:rsid w:val="00150290"/>
    <w:rsid w:val="00150BC2"/>
    <w:rsid w:val="00150FD8"/>
    <w:rsid w:val="00151695"/>
    <w:rsid w:val="00151C9B"/>
    <w:rsid w:val="00151E09"/>
    <w:rsid w:val="00152DD6"/>
    <w:rsid w:val="00152F17"/>
    <w:rsid w:val="00153A4B"/>
    <w:rsid w:val="00153E86"/>
    <w:rsid w:val="001540EE"/>
    <w:rsid w:val="00154456"/>
    <w:rsid w:val="001545AD"/>
    <w:rsid w:val="00155572"/>
    <w:rsid w:val="0015589E"/>
    <w:rsid w:val="00155A6C"/>
    <w:rsid w:val="00155B71"/>
    <w:rsid w:val="00156DD6"/>
    <w:rsid w:val="00157077"/>
    <w:rsid w:val="00157471"/>
    <w:rsid w:val="00157AB6"/>
    <w:rsid w:val="00157BF2"/>
    <w:rsid w:val="00157C61"/>
    <w:rsid w:val="00160409"/>
    <w:rsid w:val="001606C5"/>
    <w:rsid w:val="00160A50"/>
    <w:rsid w:val="0016155F"/>
    <w:rsid w:val="00162F89"/>
    <w:rsid w:val="00163580"/>
    <w:rsid w:val="00163A46"/>
    <w:rsid w:val="00163AB1"/>
    <w:rsid w:val="00163FD6"/>
    <w:rsid w:val="001647E6"/>
    <w:rsid w:val="00164EEF"/>
    <w:rsid w:val="00165260"/>
    <w:rsid w:val="001654E7"/>
    <w:rsid w:val="0016589A"/>
    <w:rsid w:val="00165BFA"/>
    <w:rsid w:val="00165D5F"/>
    <w:rsid w:val="00166A2A"/>
    <w:rsid w:val="00166BEF"/>
    <w:rsid w:val="00167491"/>
    <w:rsid w:val="00170419"/>
    <w:rsid w:val="0017048B"/>
    <w:rsid w:val="00170E75"/>
    <w:rsid w:val="00171507"/>
    <w:rsid w:val="00172A27"/>
    <w:rsid w:val="001739CC"/>
    <w:rsid w:val="00173A65"/>
    <w:rsid w:val="00173CFA"/>
    <w:rsid w:val="0017453E"/>
    <w:rsid w:val="00174670"/>
    <w:rsid w:val="00174966"/>
    <w:rsid w:val="00174FEE"/>
    <w:rsid w:val="001750CF"/>
    <w:rsid w:val="001752DD"/>
    <w:rsid w:val="00176388"/>
    <w:rsid w:val="001765D4"/>
    <w:rsid w:val="001775F4"/>
    <w:rsid w:val="0017794B"/>
    <w:rsid w:val="00177F8C"/>
    <w:rsid w:val="00180258"/>
    <w:rsid w:val="00180563"/>
    <w:rsid w:val="00180697"/>
    <w:rsid w:val="00180890"/>
    <w:rsid w:val="00180EB5"/>
    <w:rsid w:val="00181ADF"/>
    <w:rsid w:val="001820D3"/>
    <w:rsid w:val="00182473"/>
    <w:rsid w:val="0018271C"/>
    <w:rsid w:val="001827CF"/>
    <w:rsid w:val="00182DF0"/>
    <w:rsid w:val="00182E7D"/>
    <w:rsid w:val="001832D5"/>
    <w:rsid w:val="001833F4"/>
    <w:rsid w:val="001834A3"/>
    <w:rsid w:val="00183534"/>
    <w:rsid w:val="0018379D"/>
    <w:rsid w:val="0018463B"/>
    <w:rsid w:val="001849B2"/>
    <w:rsid w:val="00184DB5"/>
    <w:rsid w:val="001856DA"/>
    <w:rsid w:val="00186491"/>
    <w:rsid w:val="00186728"/>
    <w:rsid w:val="0018740C"/>
    <w:rsid w:val="00187E47"/>
    <w:rsid w:val="001900C9"/>
    <w:rsid w:val="00190154"/>
    <w:rsid w:val="001902DA"/>
    <w:rsid w:val="001909D8"/>
    <w:rsid w:val="00190D55"/>
    <w:rsid w:val="00192A2A"/>
    <w:rsid w:val="00192C62"/>
    <w:rsid w:val="00192DED"/>
    <w:rsid w:val="001930FC"/>
    <w:rsid w:val="0019368C"/>
    <w:rsid w:val="00193806"/>
    <w:rsid w:val="00194075"/>
    <w:rsid w:val="001943C5"/>
    <w:rsid w:val="0019445D"/>
    <w:rsid w:val="001954ED"/>
    <w:rsid w:val="001959BF"/>
    <w:rsid w:val="00196027"/>
    <w:rsid w:val="00196776"/>
    <w:rsid w:val="00196AE9"/>
    <w:rsid w:val="00196BAF"/>
    <w:rsid w:val="00197089"/>
    <w:rsid w:val="001A02CA"/>
    <w:rsid w:val="001A0C17"/>
    <w:rsid w:val="001A0DE9"/>
    <w:rsid w:val="001A12EE"/>
    <w:rsid w:val="001A198A"/>
    <w:rsid w:val="001A1B18"/>
    <w:rsid w:val="001A1DBF"/>
    <w:rsid w:val="001A2099"/>
    <w:rsid w:val="001A29F2"/>
    <w:rsid w:val="001A2B3A"/>
    <w:rsid w:val="001A2C72"/>
    <w:rsid w:val="001A2EBB"/>
    <w:rsid w:val="001A3ACC"/>
    <w:rsid w:val="001A4807"/>
    <w:rsid w:val="001A5C57"/>
    <w:rsid w:val="001A5EAB"/>
    <w:rsid w:val="001A6F62"/>
    <w:rsid w:val="001A72EE"/>
    <w:rsid w:val="001A74A6"/>
    <w:rsid w:val="001A74E5"/>
    <w:rsid w:val="001A7663"/>
    <w:rsid w:val="001A793A"/>
    <w:rsid w:val="001A7C69"/>
    <w:rsid w:val="001A7E21"/>
    <w:rsid w:val="001A7EC3"/>
    <w:rsid w:val="001B01A1"/>
    <w:rsid w:val="001B026E"/>
    <w:rsid w:val="001B048D"/>
    <w:rsid w:val="001B0B6F"/>
    <w:rsid w:val="001B1C69"/>
    <w:rsid w:val="001B1E6F"/>
    <w:rsid w:val="001B2085"/>
    <w:rsid w:val="001B2093"/>
    <w:rsid w:val="001B215A"/>
    <w:rsid w:val="001B2397"/>
    <w:rsid w:val="001B244E"/>
    <w:rsid w:val="001B2BFF"/>
    <w:rsid w:val="001B2DAD"/>
    <w:rsid w:val="001B30D1"/>
    <w:rsid w:val="001B3AA5"/>
    <w:rsid w:val="001B3FA2"/>
    <w:rsid w:val="001B42FD"/>
    <w:rsid w:val="001B470D"/>
    <w:rsid w:val="001B4837"/>
    <w:rsid w:val="001B5988"/>
    <w:rsid w:val="001B5B22"/>
    <w:rsid w:val="001B6082"/>
    <w:rsid w:val="001B6396"/>
    <w:rsid w:val="001B660E"/>
    <w:rsid w:val="001B66F8"/>
    <w:rsid w:val="001B700C"/>
    <w:rsid w:val="001B7159"/>
    <w:rsid w:val="001B73EF"/>
    <w:rsid w:val="001B772A"/>
    <w:rsid w:val="001B7BB4"/>
    <w:rsid w:val="001C053A"/>
    <w:rsid w:val="001C05D2"/>
    <w:rsid w:val="001C1342"/>
    <w:rsid w:val="001C1B87"/>
    <w:rsid w:val="001C2EF6"/>
    <w:rsid w:val="001C2FD3"/>
    <w:rsid w:val="001C4212"/>
    <w:rsid w:val="001C464D"/>
    <w:rsid w:val="001C4B5E"/>
    <w:rsid w:val="001C5498"/>
    <w:rsid w:val="001C5796"/>
    <w:rsid w:val="001C719C"/>
    <w:rsid w:val="001C75B1"/>
    <w:rsid w:val="001C7C62"/>
    <w:rsid w:val="001C7F59"/>
    <w:rsid w:val="001D0352"/>
    <w:rsid w:val="001D0368"/>
    <w:rsid w:val="001D06BA"/>
    <w:rsid w:val="001D0B5A"/>
    <w:rsid w:val="001D0DAF"/>
    <w:rsid w:val="001D10C4"/>
    <w:rsid w:val="001D123F"/>
    <w:rsid w:val="001D127C"/>
    <w:rsid w:val="001D14F7"/>
    <w:rsid w:val="001D1914"/>
    <w:rsid w:val="001D1948"/>
    <w:rsid w:val="001D2355"/>
    <w:rsid w:val="001D3541"/>
    <w:rsid w:val="001D35F1"/>
    <w:rsid w:val="001D3832"/>
    <w:rsid w:val="001D38A8"/>
    <w:rsid w:val="001D4DF9"/>
    <w:rsid w:val="001D5525"/>
    <w:rsid w:val="001D5749"/>
    <w:rsid w:val="001D5B79"/>
    <w:rsid w:val="001D6472"/>
    <w:rsid w:val="001D67AD"/>
    <w:rsid w:val="001D68C1"/>
    <w:rsid w:val="001D6AEC"/>
    <w:rsid w:val="001D71D5"/>
    <w:rsid w:val="001D7B78"/>
    <w:rsid w:val="001D7CC3"/>
    <w:rsid w:val="001E0000"/>
    <w:rsid w:val="001E12BD"/>
    <w:rsid w:val="001E13A9"/>
    <w:rsid w:val="001E1D67"/>
    <w:rsid w:val="001E1F15"/>
    <w:rsid w:val="001E1F90"/>
    <w:rsid w:val="001E1FC3"/>
    <w:rsid w:val="001E20D1"/>
    <w:rsid w:val="001E22B6"/>
    <w:rsid w:val="001E2F45"/>
    <w:rsid w:val="001E3298"/>
    <w:rsid w:val="001E36D7"/>
    <w:rsid w:val="001E3D42"/>
    <w:rsid w:val="001E3E6F"/>
    <w:rsid w:val="001E3FFE"/>
    <w:rsid w:val="001E4DF8"/>
    <w:rsid w:val="001E5854"/>
    <w:rsid w:val="001E60D8"/>
    <w:rsid w:val="001E67F3"/>
    <w:rsid w:val="001E7088"/>
    <w:rsid w:val="001E7780"/>
    <w:rsid w:val="001E7DD4"/>
    <w:rsid w:val="001F0474"/>
    <w:rsid w:val="001F057B"/>
    <w:rsid w:val="001F23C8"/>
    <w:rsid w:val="001F253F"/>
    <w:rsid w:val="001F41F3"/>
    <w:rsid w:val="001F421B"/>
    <w:rsid w:val="001F4422"/>
    <w:rsid w:val="001F4697"/>
    <w:rsid w:val="001F4C12"/>
    <w:rsid w:val="001F5445"/>
    <w:rsid w:val="001F5584"/>
    <w:rsid w:val="001F591F"/>
    <w:rsid w:val="001F5D81"/>
    <w:rsid w:val="001F6064"/>
    <w:rsid w:val="001F76AC"/>
    <w:rsid w:val="00200083"/>
    <w:rsid w:val="002001BA"/>
    <w:rsid w:val="00200754"/>
    <w:rsid w:val="002014C2"/>
    <w:rsid w:val="0020189E"/>
    <w:rsid w:val="00201AE9"/>
    <w:rsid w:val="00201FBD"/>
    <w:rsid w:val="0020202A"/>
    <w:rsid w:val="00203207"/>
    <w:rsid w:val="00203BEC"/>
    <w:rsid w:val="002040FC"/>
    <w:rsid w:val="00204226"/>
    <w:rsid w:val="00204971"/>
    <w:rsid w:val="00204E9F"/>
    <w:rsid w:val="002050D4"/>
    <w:rsid w:val="0020550D"/>
    <w:rsid w:val="00205E93"/>
    <w:rsid w:val="00206073"/>
    <w:rsid w:val="002068AE"/>
    <w:rsid w:val="0020692C"/>
    <w:rsid w:val="002101A0"/>
    <w:rsid w:val="002108B6"/>
    <w:rsid w:val="0021099D"/>
    <w:rsid w:val="00210FB5"/>
    <w:rsid w:val="00211476"/>
    <w:rsid w:val="002125E0"/>
    <w:rsid w:val="0021299A"/>
    <w:rsid w:val="00212B18"/>
    <w:rsid w:val="002148F6"/>
    <w:rsid w:val="00214E1B"/>
    <w:rsid w:val="00214FA4"/>
    <w:rsid w:val="002150E2"/>
    <w:rsid w:val="0021533C"/>
    <w:rsid w:val="002153C4"/>
    <w:rsid w:val="00215745"/>
    <w:rsid w:val="00215D93"/>
    <w:rsid w:val="00215EF4"/>
    <w:rsid w:val="0021614F"/>
    <w:rsid w:val="00217BC7"/>
    <w:rsid w:val="00220166"/>
    <w:rsid w:val="002202E7"/>
    <w:rsid w:val="00220A70"/>
    <w:rsid w:val="00220F27"/>
    <w:rsid w:val="0022148F"/>
    <w:rsid w:val="0022167D"/>
    <w:rsid w:val="0022183B"/>
    <w:rsid w:val="00222B50"/>
    <w:rsid w:val="00222DB7"/>
    <w:rsid w:val="002234F5"/>
    <w:rsid w:val="0022383B"/>
    <w:rsid w:val="00223D2A"/>
    <w:rsid w:val="00223E91"/>
    <w:rsid w:val="002241DF"/>
    <w:rsid w:val="00224377"/>
    <w:rsid w:val="00224CDC"/>
    <w:rsid w:val="002255CB"/>
    <w:rsid w:val="00225C66"/>
    <w:rsid w:val="00226F2D"/>
    <w:rsid w:val="0022705C"/>
    <w:rsid w:val="0022729F"/>
    <w:rsid w:val="00230A28"/>
    <w:rsid w:val="00230A3C"/>
    <w:rsid w:val="00230AA8"/>
    <w:rsid w:val="00230CEA"/>
    <w:rsid w:val="0023155B"/>
    <w:rsid w:val="00231D5E"/>
    <w:rsid w:val="00231F78"/>
    <w:rsid w:val="002326C6"/>
    <w:rsid w:val="00233029"/>
    <w:rsid w:val="002331D6"/>
    <w:rsid w:val="002332FB"/>
    <w:rsid w:val="00233423"/>
    <w:rsid w:val="00233B28"/>
    <w:rsid w:val="002344CD"/>
    <w:rsid w:val="002348F4"/>
    <w:rsid w:val="00234AE0"/>
    <w:rsid w:val="00234B42"/>
    <w:rsid w:val="00235537"/>
    <w:rsid w:val="002358D6"/>
    <w:rsid w:val="00235B22"/>
    <w:rsid w:val="0023676B"/>
    <w:rsid w:val="00236F8A"/>
    <w:rsid w:val="002371C6"/>
    <w:rsid w:val="002371D5"/>
    <w:rsid w:val="002372B3"/>
    <w:rsid w:val="0023730A"/>
    <w:rsid w:val="002373FB"/>
    <w:rsid w:val="00240191"/>
    <w:rsid w:val="002404C4"/>
    <w:rsid w:val="002405F8"/>
    <w:rsid w:val="002406DE"/>
    <w:rsid w:val="00241222"/>
    <w:rsid w:val="00241283"/>
    <w:rsid w:val="00241472"/>
    <w:rsid w:val="00241DB5"/>
    <w:rsid w:val="0024346D"/>
    <w:rsid w:val="00244067"/>
    <w:rsid w:val="002445E6"/>
    <w:rsid w:val="00245200"/>
    <w:rsid w:val="002454E0"/>
    <w:rsid w:val="00245844"/>
    <w:rsid w:val="002458E8"/>
    <w:rsid w:val="00246012"/>
    <w:rsid w:val="002462D5"/>
    <w:rsid w:val="002462D7"/>
    <w:rsid w:val="00246724"/>
    <w:rsid w:val="0024731B"/>
    <w:rsid w:val="00247985"/>
    <w:rsid w:val="00247AE0"/>
    <w:rsid w:val="0025004E"/>
    <w:rsid w:val="002509BF"/>
    <w:rsid w:val="00250AF8"/>
    <w:rsid w:val="00250DB8"/>
    <w:rsid w:val="0025132F"/>
    <w:rsid w:val="00251347"/>
    <w:rsid w:val="00251BC8"/>
    <w:rsid w:val="0025236E"/>
    <w:rsid w:val="00252451"/>
    <w:rsid w:val="00252C22"/>
    <w:rsid w:val="00252D7C"/>
    <w:rsid w:val="002547EA"/>
    <w:rsid w:val="00254A0C"/>
    <w:rsid w:val="00255234"/>
    <w:rsid w:val="002552B8"/>
    <w:rsid w:val="0025550A"/>
    <w:rsid w:val="00255AA4"/>
    <w:rsid w:val="00256049"/>
    <w:rsid w:val="00256BD7"/>
    <w:rsid w:val="00257551"/>
    <w:rsid w:val="002606B7"/>
    <w:rsid w:val="0026093B"/>
    <w:rsid w:val="0026095D"/>
    <w:rsid w:val="002618D3"/>
    <w:rsid w:val="00261A0F"/>
    <w:rsid w:val="00262C51"/>
    <w:rsid w:val="0026338C"/>
    <w:rsid w:val="00263926"/>
    <w:rsid w:val="002642DA"/>
    <w:rsid w:val="00264BD5"/>
    <w:rsid w:val="0026551F"/>
    <w:rsid w:val="00265572"/>
    <w:rsid w:val="00266067"/>
    <w:rsid w:val="00266127"/>
    <w:rsid w:val="00266274"/>
    <w:rsid w:val="00266766"/>
    <w:rsid w:val="00266D84"/>
    <w:rsid w:val="00267076"/>
    <w:rsid w:val="002670F9"/>
    <w:rsid w:val="002679E6"/>
    <w:rsid w:val="00267D41"/>
    <w:rsid w:val="00270EE6"/>
    <w:rsid w:val="00271031"/>
    <w:rsid w:val="00271AF5"/>
    <w:rsid w:val="00271BD4"/>
    <w:rsid w:val="00272455"/>
    <w:rsid w:val="00272D86"/>
    <w:rsid w:val="00273AE7"/>
    <w:rsid w:val="00273CF0"/>
    <w:rsid w:val="00273EED"/>
    <w:rsid w:val="00274177"/>
    <w:rsid w:val="00274231"/>
    <w:rsid w:val="002745F6"/>
    <w:rsid w:val="00275391"/>
    <w:rsid w:val="00275620"/>
    <w:rsid w:val="002758FC"/>
    <w:rsid w:val="00275A53"/>
    <w:rsid w:val="00275E48"/>
    <w:rsid w:val="00276909"/>
    <w:rsid w:val="00276D1D"/>
    <w:rsid w:val="00276D59"/>
    <w:rsid w:val="00277292"/>
    <w:rsid w:val="0027789E"/>
    <w:rsid w:val="002800FE"/>
    <w:rsid w:val="0028021D"/>
    <w:rsid w:val="002804DF"/>
    <w:rsid w:val="00280727"/>
    <w:rsid w:val="00280887"/>
    <w:rsid w:val="00280FA1"/>
    <w:rsid w:val="002810CA"/>
    <w:rsid w:val="002814CB"/>
    <w:rsid w:val="00281C6F"/>
    <w:rsid w:val="00281FF3"/>
    <w:rsid w:val="0028213B"/>
    <w:rsid w:val="0028227C"/>
    <w:rsid w:val="0028232A"/>
    <w:rsid w:val="00282F42"/>
    <w:rsid w:val="0028300F"/>
    <w:rsid w:val="00284322"/>
    <w:rsid w:val="002843E7"/>
    <w:rsid w:val="0028471B"/>
    <w:rsid w:val="00284A19"/>
    <w:rsid w:val="00285439"/>
    <w:rsid w:val="002856AA"/>
    <w:rsid w:val="002864E5"/>
    <w:rsid w:val="00286667"/>
    <w:rsid w:val="00286E4D"/>
    <w:rsid w:val="00286EAD"/>
    <w:rsid w:val="002870FF"/>
    <w:rsid w:val="0028738A"/>
    <w:rsid w:val="00287E5F"/>
    <w:rsid w:val="00290BCC"/>
    <w:rsid w:val="00290C36"/>
    <w:rsid w:val="002913B5"/>
    <w:rsid w:val="0029169B"/>
    <w:rsid w:val="002924D9"/>
    <w:rsid w:val="00292A74"/>
    <w:rsid w:val="00292B58"/>
    <w:rsid w:val="00292E12"/>
    <w:rsid w:val="00293446"/>
    <w:rsid w:val="00293721"/>
    <w:rsid w:val="0029494D"/>
    <w:rsid w:val="002949DD"/>
    <w:rsid w:val="00294B19"/>
    <w:rsid w:val="00294CDA"/>
    <w:rsid w:val="00294FB8"/>
    <w:rsid w:val="00295836"/>
    <w:rsid w:val="00295C17"/>
    <w:rsid w:val="00295E70"/>
    <w:rsid w:val="00296859"/>
    <w:rsid w:val="002969E5"/>
    <w:rsid w:val="00296FBF"/>
    <w:rsid w:val="002973FB"/>
    <w:rsid w:val="002974EC"/>
    <w:rsid w:val="002977F7"/>
    <w:rsid w:val="00297AB4"/>
    <w:rsid w:val="002A07E0"/>
    <w:rsid w:val="002A0D18"/>
    <w:rsid w:val="002A1424"/>
    <w:rsid w:val="002A150D"/>
    <w:rsid w:val="002A19DA"/>
    <w:rsid w:val="002A1A7D"/>
    <w:rsid w:val="002A1CF2"/>
    <w:rsid w:val="002A1DEB"/>
    <w:rsid w:val="002A1DEE"/>
    <w:rsid w:val="002A2645"/>
    <w:rsid w:val="002A3648"/>
    <w:rsid w:val="002A42FE"/>
    <w:rsid w:val="002A4E0E"/>
    <w:rsid w:val="002A4E81"/>
    <w:rsid w:val="002A5099"/>
    <w:rsid w:val="002A5365"/>
    <w:rsid w:val="002A53A8"/>
    <w:rsid w:val="002A5B47"/>
    <w:rsid w:val="002A5D8F"/>
    <w:rsid w:val="002A61FA"/>
    <w:rsid w:val="002A6831"/>
    <w:rsid w:val="002A7CCF"/>
    <w:rsid w:val="002A7F4C"/>
    <w:rsid w:val="002B1059"/>
    <w:rsid w:val="002B18CB"/>
    <w:rsid w:val="002B1D2E"/>
    <w:rsid w:val="002B2301"/>
    <w:rsid w:val="002B256B"/>
    <w:rsid w:val="002B3525"/>
    <w:rsid w:val="002B3578"/>
    <w:rsid w:val="002B3D45"/>
    <w:rsid w:val="002B3E45"/>
    <w:rsid w:val="002B42C9"/>
    <w:rsid w:val="002B6296"/>
    <w:rsid w:val="002B6AAD"/>
    <w:rsid w:val="002B78FC"/>
    <w:rsid w:val="002B79DC"/>
    <w:rsid w:val="002B7E13"/>
    <w:rsid w:val="002B7FEE"/>
    <w:rsid w:val="002C0A29"/>
    <w:rsid w:val="002C12E1"/>
    <w:rsid w:val="002C13A6"/>
    <w:rsid w:val="002C1549"/>
    <w:rsid w:val="002C2EDE"/>
    <w:rsid w:val="002C3CEC"/>
    <w:rsid w:val="002C3E17"/>
    <w:rsid w:val="002C404E"/>
    <w:rsid w:val="002C5570"/>
    <w:rsid w:val="002C55B7"/>
    <w:rsid w:val="002C584F"/>
    <w:rsid w:val="002C6175"/>
    <w:rsid w:val="002C7362"/>
    <w:rsid w:val="002C7B46"/>
    <w:rsid w:val="002D10F8"/>
    <w:rsid w:val="002D2F1E"/>
    <w:rsid w:val="002D35FE"/>
    <w:rsid w:val="002D393F"/>
    <w:rsid w:val="002D507B"/>
    <w:rsid w:val="002D5860"/>
    <w:rsid w:val="002D5BB4"/>
    <w:rsid w:val="002D5C94"/>
    <w:rsid w:val="002D61C0"/>
    <w:rsid w:val="002D72DD"/>
    <w:rsid w:val="002D75A8"/>
    <w:rsid w:val="002D798A"/>
    <w:rsid w:val="002D7D6E"/>
    <w:rsid w:val="002E0539"/>
    <w:rsid w:val="002E067B"/>
    <w:rsid w:val="002E0B59"/>
    <w:rsid w:val="002E0D2D"/>
    <w:rsid w:val="002E154A"/>
    <w:rsid w:val="002E1922"/>
    <w:rsid w:val="002E1F3C"/>
    <w:rsid w:val="002E2263"/>
    <w:rsid w:val="002E27EF"/>
    <w:rsid w:val="002E2C90"/>
    <w:rsid w:val="002E2E00"/>
    <w:rsid w:val="002E3FA9"/>
    <w:rsid w:val="002E403E"/>
    <w:rsid w:val="002E43C4"/>
    <w:rsid w:val="002E461D"/>
    <w:rsid w:val="002E4701"/>
    <w:rsid w:val="002E4A8C"/>
    <w:rsid w:val="002E4F83"/>
    <w:rsid w:val="002E559A"/>
    <w:rsid w:val="002E571E"/>
    <w:rsid w:val="002E5F9A"/>
    <w:rsid w:val="002E6BC5"/>
    <w:rsid w:val="002E7379"/>
    <w:rsid w:val="002E73EC"/>
    <w:rsid w:val="002E7DE1"/>
    <w:rsid w:val="002F0B22"/>
    <w:rsid w:val="002F129A"/>
    <w:rsid w:val="002F1A1E"/>
    <w:rsid w:val="002F1E92"/>
    <w:rsid w:val="002F1F12"/>
    <w:rsid w:val="002F2362"/>
    <w:rsid w:val="002F25D9"/>
    <w:rsid w:val="002F25E6"/>
    <w:rsid w:val="002F2813"/>
    <w:rsid w:val="002F2E6A"/>
    <w:rsid w:val="002F3E69"/>
    <w:rsid w:val="002F4093"/>
    <w:rsid w:val="002F4206"/>
    <w:rsid w:val="002F5583"/>
    <w:rsid w:val="002F5E59"/>
    <w:rsid w:val="002F5E5F"/>
    <w:rsid w:val="002F5ED4"/>
    <w:rsid w:val="002F60AA"/>
    <w:rsid w:val="002F6591"/>
    <w:rsid w:val="002F65AD"/>
    <w:rsid w:val="002F6C37"/>
    <w:rsid w:val="002F6D8F"/>
    <w:rsid w:val="002F6F26"/>
    <w:rsid w:val="002F736E"/>
    <w:rsid w:val="002F7ACE"/>
    <w:rsid w:val="003001B2"/>
    <w:rsid w:val="003009A9"/>
    <w:rsid w:val="003014F3"/>
    <w:rsid w:val="003019A3"/>
    <w:rsid w:val="00301AB0"/>
    <w:rsid w:val="00302A2E"/>
    <w:rsid w:val="00302D77"/>
    <w:rsid w:val="0030302E"/>
    <w:rsid w:val="00303390"/>
    <w:rsid w:val="00303391"/>
    <w:rsid w:val="003047F3"/>
    <w:rsid w:val="003048EC"/>
    <w:rsid w:val="003050BA"/>
    <w:rsid w:val="0030538D"/>
    <w:rsid w:val="00305A12"/>
    <w:rsid w:val="00305D30"/>
    <w:rsid w:val="003061B6"/>
    <w:rsid w:val="003071D8"/>
    <w:rsid w:val="00307308"/>
    <w:rsid w:val="00307457"/>
    <w:rsid w:val="00307BCD"/>
    <w:rsid w:val="003109A2"/>
    <w:rsid w:val="00310E49"/>
    <w:rsid w:val="00311033"/>
    <w:rsid w:val="0031137F"/>
    <w:rsid w:val="00312063"/>
    <w:rsid w:val="0031266D"/>
    <w:rsid w:val="00312C0C"/>
    <w:rsid w:val="00312C20"/>
    <w:rsid w:val="00313218"/>
    <w:rsid w:val="00313788"/>
    <w:rsid w:val="00313A15"/>
    <w:rsid w:val="00313F32"/>
    <w:rsid w:val="00314903"/>
    <w:rsid w:val="00314965"/>
    <w:rsid w:val="00314A1A"/>
    <w:rsid w:val="003151BB"/>
    <w:rsid w:val="0031576E"/>
    <w:rsid w:val="003166FE"/>
    <w:rsid w:val="0031676D"/>
    <w:rsid w:val="003169A6"/>
    <w:rsid w:val="00317174"/>
    <w:rsid w:val="003174DA"/>
    <w:rsid w:val="0031787E"/>
    <w:rsid w:val="0032050C"/>
    <w:rsid w:val="0032060B"/>
    <w:rsid w:val="00320DDE"/>
    <w:rsid w:val="00320FCA"/>
    <w:rsid w:val="00321114"/>
    <w:rsid w:val="003212BD"/>
    <w:rsid w:val="0032177E"/>
    <w:rsid w:val="00321960"/>
    <w:rsid w:val="0032197B"/>
    <w:rsid w:val="00321A44"/>
    <w:rsid w:val="00321A7C"/>
    <w:rsid w:val="00321FCB"/>
    <w:rsid w:val="00322D25"/>
    <w:rsid w:val="00322E7E"/>
    <w:rsid w:val="003234F5"/>
    <w:rsid w:val="00323EB3"/>
    <w:rsid w:val="00323F79"/>
    <w:rsid w:val="0032417F"/>
    <w:rsid w:val="003251E3"/>
    <w:rsid w:val="003252C7"/>
    <w:rsid w:val="00325685"/>
    <w:rsid w:val="00325B76"/>
    <w:rsid w:val="00325F7E"/>
    <w:rsid w:val="00326CF2"/>
    <w:rsid w:val="00326DDA"/>
    <w:rsid w:val="00327AC4"/>
    <w:rsid w:val="00327F36"/>
    <w:rsid w:val="00330CAB"/>
    <w:rsid w:val="00331058"/>
    <w:rsid w:val="00332050"/>
    <w:rsid w:val="0033261B"/>
    <w:rsid w:val="00333750"/>
    <w:rsid w:val="00334066"/>
    <w:rsid w:val="0033443A"/>
    <w:rsid w:val="00334634"/>
    <w:rsid w:val="003356AB"/>
    <w:rsid w:val="00335740"/>
    <w:rsid w:val="00335AAF"/>
    <w:rsid w:val="00335B7F"/>
    <w:rsid w:val="00336923"/>
    <w:rsid w:val="003371E3"/>
    <w:rsid w:val="0033735B"/>
    <w:rsid w:val="003415EF"/>
    <w:rsid w:val="00341A1E"/>
    <w:rsid w:val="003421D9"/>
    <w:rsid w:val="003427F6"/>
    <w:rsid w:val="00342EF6"/>
    <w:rsid w:val="00343283"/>
    <w:rsid w:val="003445A3"/>
    <w:rsid w:val="003447DD"/>
    <w:rsid w:val="00345B60"/>
    <w:rsid w:val="00346367"/>
    <w:rsid w:val="003463C3"/>
    <w:rsid w:val="003474E0"/>
    <w:rsid w:val="003476AC"/>
    <w:rsid w:val="0035033D"/>
    <w:rsid w:val="00350452"/>
    <w:rsid w:val="003506F2"/>
    <w:rsid w:val="003509BD"/>
    <w:rsid w:val="00351120"/>
    <w:rsid w:val="0035122B"/>
    <w:rsid w:val="00351761"/>
    <w:rsid w:val="00351E49"/>
    <w:rsid w:val="00352113"/>
    <w:rsid w:val="0035238A"/>
    <w:rsid w:val="00352B6A"/>
    <w:rsid w:val="003557BA"/>
    <w:rsid w:val="00355847"/>
    <w:rsid w:val="003560A4"/>
    <w:rsid w:val="0035619B"/>
    <w:rsid w:val="00356468"/>
    <w:rsid w:val="003564A1"/>
    <w:rsid w:val="00356FDA"/>
    <w:rsid w:val="003571D5"/>
    <w:rsid w:val="003571E6"/>
    <w:rsid w:val="0035720D"/>
    <w:rsid w:val="003574F0"/>
    <w:rsid w:val="003576BA"/>
    <w:rsid w:val="00357945"/>
    <w:rsid w:val="00360595"/>
    <w:rsid w:val="00360C03"/>
    <w:rsid w:val="00361011"/>
    <w:rsid w:val="00361270"/>
    <w:rsid w:val="0036171A"/>
    <w:rsid w:val="00362AB0"/>
    <w:rsid w:val="003633E8"/>
    <w:rsid w:val="0036446D"/>
    <w:rsid w:val="00364A47"/>
    <w:rsid w:val="00364AA4"/>
    <w:rsid w:val="00364BB0"/>
    <w:rsid w:val="00364C9E"/>
    <w:rsid w:val="00364EEE"/>
    <w:rsid w:val="00364F4B"/>
    <w:rsid w:val="00365ACA"/>
    <w:rsid w:val="00366646"/>
    <w:rsid w:val="003668D4"/>
    <w:rsid w:val="00366CC3"/>
    <w:rsid w:val="0036731F"/>
    <w:rsid w:val="00367F03"/>
    <w:rsid w:val="00367F06"/>
    <w:rsid w:val="00370329"/>
    <w:rsid w:val="00370C34"/>
    <w:rsid w:val="00370EED"/>
    <w:rsid w:val="0037126F"/>
    <w:rsid w:val="003727A7"/>
    <w:rsid w:val="003728D8"/>
    <w:rsid w:val="00372BD7"/>
    <w:rsid w:val="00372D4C"/>
    <w:rsid w:val="0037321D"/>
    <w:rsid w:val="003734D4"/>
    <w:rsid w:val="0037374A"/>
    <w:rsid w:val="00373DE6"/>
    <w:rsid w:val="00373F31"/>
    <w:rsid w:val="003741B8"/>
    <w:rsid w:val="00374D55"/>
    <w:rsid w:val="00374E80"/>
    <w:rsid w:val="00375CA2"/>
    <w:rsid w:val="0037614C"/>
    <w:rsid w:val="0037696D"/>
    <w:rsid w:val="00376C64"/>
    <w:rsid w:val="00377746"/>
    <w:rsid w:val="003778E8"/>
    <w:rsid w:val="00377957"/>
    <w:rsid w:val="00377EE1"/>
    <w:rsid w:val="00380DF9"/>
    <w:rsid w:val="003810D6"/>
    <w:rsid w:val="003813E3"/>
    <w:rsid w:val="003814EA"/>
    <w:rsid w:val="00381734"/>
    <w:rsid w:val="0038173B"/>
    <w:rsid w:val="00381A92"/>
    <w:rsid w:val="00381AD5"/>
    <w:rsid w:val="00382760"/>
    <w:rsid w:val="00382818"/>
    <w:rsid w:val="00382AAF"/>
    <w:rsid w:val="00382ADC"/>
    <w:rsid w:val="00382B4D"/>
    <w:rsid w:val="00382F90"/>
    <w:rsid w:val="00382FEA"/>
    <w:rsid w:val="00383157"/>
    <w:rsid w:val="003834FF"/>
    <w:rsid w:val="00383E97"/>
    <w:rsid w:val="00384D84"/>
    <w:rsid w:val="00384F3E"/>
    <w:rsid w:val="00384FF7"/>
    <w:rsid w:val="003850A9"/>
    <w:rsid w:val="00385AAB"/>
    <w:rsid w:val="00385AC7"/>
    <w:rsid w:val="003861DD"/>
    <w:rsid w:val="003862E5"/>
    <w:rsid w:val="0038674A"/>
    <w:rsid w:val="00386C33"/>
    <w:rsid w:val="003879BA"/>
    <w:rsid w:val="00387FE3"/>
    <w:rsid w:val="0039055C"/>
    <w:rsid w:val="00390782"/>
    <w:rsid w:val="003917AB"/>
    <w:rsid w:val="00392345"/>
    <w:rsid w:val="00392470"/>
    <w:rsid w:val="00392C05"/>
    <w:rsid w:val="003939D7"/>
    <w:rsid w:val="003946DA"/>
    <w:rsid w:val="003947CF"/>
    <w:rsid w:val="00394AF8"/>
    <w:rsid w:val="00394CF7"/>
    <w:rsid w:val="00394D13"/>
    <w:rsid w:val="00394D34"/>
    <w:rsid w:val="00395679"/>
    <w:rsid w:val="00395A82"/>
    <w:rsid w:val="0039618E"/>
    <w:rsid w:val="00396321"/>
    <w:rsid w:val="003973E1"/>
    <w:rsid w:val="00397B0F"/>
    <w:rsid w:val="00397E61"/>
    <w:rsid w:val="003A0418"/>
    <w:rsid w:val="003A09FC"/>
    <w:rsid w:val="003A0E16"/>
    <w:rsid w:val="003A14A5"/>
    <w:rsid w:val="003A1FE4"/>
    <w:rsid w:val="003A216F"/>
    <w:rsid w:val="003A2E86"/>
    <w:rsid w:val="003A3101"/>
    <w:rsid w:val="003A349D"/>
    <w:rsid w:val="003A3ED4"/>
    <w:rsid w:val="003A3EFC"/>
    <w:rsid w:val="003A42C3"/>
    <w:rsid w:val="003A4497"/>
    <w:rsid w:val="003A4746"/>
    <w:rsid w:val="003A5DFC"/>
    <w:rsid w:val="003A6660"/>
    <w:rsid w:val="003A6A12"/>
    <w:rsid w:val="003A6DDF"/>
    <w:rsid w:val="003A7118"/>
    <w:rsid w:val="003A7198"/>
    <w:rsid w:val="003A7248"/>
    <w:rsid w:val="003A72E2"/>
    <w:rsid w:val="003A7363"/>
    <w:rsid w:val="003A7695"/>
    <w:rsid w:val="003A7715"/>
    <w:rsid w:val="003A7D99"/>
    <w:rsid w:val="003A7FF5"/>
    <w:rsid w:val="003B0659"/>
    <w:rsid w:val="003B088B"/>
    <w:rsid w:val="003B08CB"/>
    <w:rsid w:val="003B12E6"/>
    <w:rsid w:val="003B1529"/>
    <w:rsid w:val="003B183F"/>
    <w:rsid w:val="003B1D35"/>
    <w:rsid w:val="003B2002"/>
    <w:rsid w:val="003B2AC0"/>
    <w:rsid w:val="003B2BEA"/>
    <w:rsid w:val="003B3105"/>
    <w:rsid w:val="003B3427"/>
    <w:rsid w:val="003B3B21"/>
    <w:rsid w:val="003B4046"/>
    <w:rsid w:val="003B4C53"/>
    <w:rsid w:val="003B508A"/>
    <w:rsid w:val="003B51F7"/>
    <w:rsid w:val="003B5618"/>
    <w:rsid w:val="003B5C3E"/>
    <w:rsid w:val="003B5FAE"/>
    <w:rsid w:val="003B6040"/>
    <w:rsid w:val="003B625A"/>
    <w:rsid w:val="003B6694"/>
    <w:rsid w:val="003B6B59"/>
    <w:rsid w:val="003B704C"/>
    <w:rsid w:val="003B70AE"/>
    <w:rsid w:val="003B74BB"/>
    <w:rsid w:val="003B77D3"/>
    <w:rsid w:val="003B7AEB"/>
    <w:rsid w:val="003B7E38"/>
    <w:rsid w:val="003C02A0"/>
    <w:rsid w:val="003C0647"/>
    <w:rsid w:val="003C202F"/>
    <w:rsid w:val="003C3305"/>
    <w:rsid w:val="003C36AF"/>
    <w:rsid w:val="003C38AB"/>
    <w:rsid w:val="003C3BD5"/>
    <w:rsid w:val="003C4032"/>
    <w:rsid w:val="003C4375"/>
    <w:rsid w:val="003C477C"/>
    <w:rsid w:val="003C4ADB"/>
    <w:rsid w:val="003C4D8D"/>
    <w:rsid w:val="003C51A2"/>
    <w:rsid w:val="003C5862"/>
    <w:rsid w:val="003C64BF"/>
    <w:rsid w:val="003C670A"/>
    <w:rsid w:val="003C6FEB"/>
    <w:rsid w:val="003C7367"/>
    <w:rsid w:val="003C7ACC"/>
    <w:rsid w:val="003C7C67"/>
    <w:rsid w:val="003D02E3"/>
    <w:rsid w:val="003D03B7"/>
    <w:rsid w:val="003D05B6"/>
    <w:rsid w:val="003D09F3"/>
    <w:rsid w:val="003D0B96"/>
    <w:rsid w:val="003D1AD9"/>
    <w:rsid w:val="003D1BD9"/>
    <w:rsid w:val="003D1EEF"/>
    <w:rsid w:val="003D21D7"/>
    <w:rsid w:val="003D233A"/>
    <w:rsid w:val="003D2700"/>
    <w:rsid w:val="003D2A87"/>
    <w:rsid w:val="003D2B4E"/>
    <w:rsid w:val="003D380B"/>
    <w:rsid w:val="003D39F5"/>
    <w:rsid w:val="003D3AA7"/>
    <w:rsid w:val="003D403D"/>
    <w:rsid w:val="003D41D4"/>
    <w:rsid w:val="003D5719"/>
    <w:rsid w:val="003D5A87"/>
    <w:rsid w:val="003D5C0F"/>
    <w:rsid w:val="003D6162"/>
    <w:rsid w:val="003D6696"/>
    <w:rsid w:val="003D71CA"/>
    <w:rsid w:val="003D720B"/>
    <w:rsid w:val="003D779D"/>
    <w:rsid w:val="003D79D1"/>
    <w:rsid w:val="003D7C3F"/>
    <w:rsid w:val="003E0501"/>
    <w:rsid w:val="003E1AF6"/>
    <w:rsid w:val="003E25EC"/>
    <w:rsid w:val="003E2C77"/>
    <w:rsid w:val="003E2E3E"/>
    <w:rsid w:val="003E3A14"/>
    <w:rsid w:val="003E41DB"/>
    <w:rsid w:val="003E420F"/>
    <w:rsid w:val="003E426C"/>
    <w:rsid w:val="003E4551"/>
    <w:rsid w:val="003E4659"/>
    <w:rsid w:val="003E4B4C"/>
    <w:rsid w:val="003E578C"/>
    <w:rsid w:val="003E5AF0"/>
    <w:rsid w:val="003E62B3"/>
    <w:rsid w:val="003E6620"/>
    <w:rsid w:val="003E693F"/>
    <w:rsid w:val="003E70A8"/>
    <w:rsid w:val="003E7512"/>
    <w:rsid w:val="003E756E"/>
    <w:rsid w:val="003E777F"/>
    <w:rsid w:val="003F0330"/>
    <w:rsid w:val="003F1D42"/>
    <w:rsid w:val="003F21C7"/>
    <w:rsid w:val="003F23F4"/>
    <w:rsid w:val="003F2CB8"/>
    <w:rsid w:val="003F2EA4"/>
    <w:rsid w:val="003F2F1D"/>
    <w:rsid w:val="003F2FBA"/>
    <w:rsid w:val="003F3265"/>
    <w:rsid w:val="003F35A9"/>
    <w:rsid w:val="003F37A4"/>
    <w:rsid w:val="003F38A7"/>
    <w:rsid w:val="003F3CC5"/>
    <w:rsid w:val="003F3D2F"/>
    <w:rsid w:val="003F4B43"/>
    <w:rsid w:val="003F4B48"/>
    <w:rsid w:val="003F6235"/>
    <w:rsid w:val="003F6D0C"/>
    <w:rsid w:val="003F6FF9"/>
    <w:rsid w:val="00400714"/>
    <w:rsid w:val="00400D06"/>
    <w:rsid w:val="00400F0F"/>
    <w:rsid w:val="004010EB"/>
    <w:rsid w:val="004012C2"/>
    <w:rsid w:val="004018F1"/>
    <w:rsid w:val="00401BF4"/>
    <w:rsid w:val="00402B7D"/>
    <w:rsid w:val="00403131"/>
    <w:rsid w:val="004033B7"/>
    <w:rsid w:val="00404610"/>
    <w:rsid w:val="0040473C"/>
    <w:rsid w:val="00404AE8"/>
    <w:rsid w:val="00404C0A"/>
    <w:rsid w:val="0040516D"/>
    <w:rsid w:val="004053FE"/>
    <w:rsid w:val="0040571C"/>
    <w:rsid w:val="00405A93"/>
    <w:rsid w:val="0040647C"/>
    <w:rsid w:val="00406700"/>
    <w:rsid w:val="0040734B"/>
    <w:rsid w:val="00407697"/>
    <w:rsid w:val="00407A71"/>
    <w:rsid w:val="00407C8B"/>
    <w:rsid w:val="00407EDD"/>
    <w:rsid w:val="004107AC"/>
    <w:rsid w:val="0041083E"/>
    <w:rsid w:val="0041152B"/>
    <w:rsid w:val="004122CF"/>
    <w:rsid w:val="004123B6"/>
    <w:rsid w:val="004125F7"/>
    <w:rsid w:val="00413182"/>
    <w:rsid w:val="0041358E"/>
    <w:rsid w:val="00414169"/>
    <w:rsid w:val="004146C0"/>
    <w:rsid w:val="00414DE8"/>
    <w:rsid w:val="0041550C"/>
    <w:rsid w:val="0041568B"/>
    <w:rsid w:val="00415862"/>
    <w:rsid w:val="004160C8"/>
    <w:rsid w:val="00416379"/>
    <w:rsid w:val="0041639F"/>
    <w:rsid w:val="00416588"/>
    <w:rsid w:val="004168AE"/>
    <w:rsid w:val="00416DE1"/>
    <w:rsid w:val="00416F16"/>
    <w:rsid w:val="004178FF"/>
    <w:rsid w:val="004179C3"/>
    <w:rsid w:val="004204BF"/>
    <w:rsid w:val="00420E5E"/>
    <w:rsid w:val="00421181"/>
    <w:rsid w:val="004213A7"/>
    <w:rsid w:val="00421999"/>
    <w:rsid w:val="00421A2B"/>
    <w:rsid w:val="00421CB0"/>
    <w:rsid w:val="0042204E"/>
    <w:rsid w:val="0042217A"/>
    <w:rsid w:val="004224EC"/>
    <w:rsid w:val="00422B40"/>
    <w:rsid w:val="00422F96"/>
    <w:rsid w:val="004239DF"/>
    <w:rsid w:val="00423FF2"/>
    <w:rsid w:val="004240C1"/>
    <w:rsid w:val="00424B48"/>
    <w:rsid w:val="00424DCA"/>
    <w:rsid w:val="00425B5E"/>
    <w:rsid w:val="00425F42"/>
    <w:rsid w:val="00425F8F"/>
    <w:rsid w:val="00426624"/>
    <w:rsid w:val="004271AE"/>
    <w:rsid w:val="004273B9"/>
    <w:rsid w:val="004276E1"/>
    <w:rsid w:val="004278AA"/>
    <w:rsid w:val="00427EC8"/>
    <w:rsid w:val="00427F95"/>
    <w:rsid w:val="00430476"/>
    <w:rsid w:val="00431110"/>
    <w:rsid w:val="00431907"/>
    <w:rsid w:val="00432753"/>
    <w:rsid w:val="00432E32"/>
    <w:rsid w:val="004330B7"/>
    <w:rsid w:val="004330F6"/>
    <w:rsid w:val="00433922"/>
    <w:rsid w:val="00434ADF"/>
    <w:rsid w:val="004359A1"/>
    <w:rsid w:val="00435D7A"/>
    <w:rsid w:val="00436606"/>
    <w:rsid w:val="00437485"/>
    <w:rsid w:val="004376E6"/>
    <w:rsid w:val="004400DA"/>
    <w:rsid w:val="00440590"/>
    <w:rsid w:val="004408D1"/>
    <w:rsid w:val="00440B08"/>
    <w:rsid w:val="00440F8A"/>
    <w:rsid w:val="004419A9"/>
    <w:rsid w:val="00441BF2"/>
    <w:rsid w:val="00441DBB"/>
    <w:rsid w:val="004428AD"/>
    <w:rsid w:val="00442CC5"/>
    <w:rsid w:val="004432EB"/>
    <w:rsid w:val="004436D6"/>
    <w:rsid w:val="00443F24"/>
    <w:rsid w:val="00443F64"/>
    <w:rsid w:val="004446DE"/>
    <w:rsid w:val="00445B31"/>
    <w:rsid w:val="00445EEE"/>
    <w:rsid w:val="0044677A"/>
    <w:rsid w:val="00446926"/>
    <w:rsid w:val="00446954"/>
    <w:rsid w:val="00446C11"/>
    <w:rsid w:val="004479F4"/>
    <w:rsid w:val="0045033C"/>
    <w:rsid w:val="00450734"/>
    <w:rsid w:val="00450B69"/>
    <w:rsid w:val="0045138C"/>
    <w:rsid w:val="004516BE"/>
    <w:rsid w:val="00451D0A"/>
    <w:rsid w:val="004523A8"/>
    <w:rsid w:val="00452532"/>
    <w:rsid w:val="00452A22"/>
    <w:rsid w:val="00452F5C"/>
    <w:rsid w:val="00453267"/>
    <w:rsid w:val="00453A19"/>
    <w:rsid w:val="00454959"/>
    <w:rsid w:val="00454BA6"/>
    <w:rsid w:val="00455385"/>
    <w:rsid w:val="004558D1"/>
    <w:rsid w:val="004558DF"/>
    <w:rsid w:val="00456717"/>
    <w:rsid w:val="004569BE"/>
    <w:rsid w:val="004570D4"/>
    <w:rsid w:val="00457328"/>
    <w:rsid w:val="004575A7"/>
    <w:rsid w:val="0045766C"/>
    <w:rsid w:val="0046007F"/>
    <w:rsid w:val="00460136"/>
    <w:rsid w:val="00460C9A"/>
    <w:rsid w:val="00461734"/>
    <w:rsid w:val="004619FB"/>
    <w:rsid w:val="00462029"/>
    <w:rsid w:val="0046207D"/>
    <w:rsid w:val="004624D8"/>
    <w:rsid w:val="00462666"/>
    <w:rsid w:val="0046273F"/>
    <w:rsid w:val="00463A78"/>
    <w:rsid w:val="00466244"/>
    <w:rsid w:val="00466393"/>
    <w:rsid w:val="0046684D"/>
    <w:rsid w:val="00466CFD"/>
    <w:rsid w:val="00466D0B"/>
    <w:rsid w:val="00466D91"/>
    <w:rsid w:val="00466E67"/>
    <w:rsid w:val="004677A2"/>
    <w:rsid w:val="00467A2D"/>
    <w:rsid w:val="00467CE6"/>
    <w:rsid w:val="00467E88"/>
    <w:rsid w:val="00470A57"/>
    <w:rsid w:val="00470FAD"/>
    <w:rsid w:val="0047178B"/>
    <w:rsid w:val="00472458"/>
    <w:rsid w:val="00472488"/>
    <w:rsid w:val="00472753"/>
    <w:rsid w:val="004728C8"/>
    <w:rsid w:val="00472A9C"/>
    <w:rsid w:val="0047315D"/>
    <w:rsid w:val="004732A0"/>
    <w:rsid w:val="0047345C"/>
    <w:rsid w:val="00474011"/>
    <w:rsid w:val="00474076"/>
    <w:rsid w:val="0047424B"/>
    <w:rsid w:val="00474DED"/>
    <w:rsid w:val="00474ECB"/>
    <w:rsid w:val="00475426"/>
    <w:rsid w:val="00475A06"/>
    <w:rsid w:val="00475B2C"/>
    <w:rsid w:val="00475D32"/>
    <w:rsid w:val="00475DFE"/>
    <w:rsid w:val="004764A7"/>
    <w:rsid w:val="00476917"/>
    <w:rsid w:val="00476D24"/>
    <w:rsid w:val="004773EC"/>
    <w:rsid w:val="0047790A"/>
    <w:rsid w:val="0047793C"/>
    <w:rsid w:val="00480680"/>
    <w:rsid w:val="00481743"/>
    <w:rsid w:val="00482593"/>
    <w:rsid w:val="00482ADD"/>
    <w:rsid w:val="00483648"/>
    <w:rsid w:val="00483A14"/>
    <w:rsid w:val="00484333"/>
    <w:rsid w:val="00484715"/>
    <w:rsid w:val="00484953"/>
    <w:rsid w:val="00485172"/>
    <w:rsid w:val="00485299"/>
    <w:rsid w:val="004852B9"/>
    <w:rsid w:val="00485853"/>
    <w:rsid w:val="00485A9C"/>
    <w:rsid w:val="00485DCB"/>
    <w:rsid w:val="00485ECE"/>
    <w:rsid w:val="004868EB"/>
    <w:rsid w:val="00487348"/>
    <w:rsid w:val="004876F1"/>
    <w:rsid w:val="004877F1"/>
    <w:rsid w:val="00487872"/>
    <w:rsid w:val="004900BA"/>
    <w:rsid w:val="00490963"/>
    <w:rsid w:val="00490E23"/>
    <w:rsid w:val="0049155A"/>
    <w:rsid w:val="0049159B"/>
    <w:rsid w:val="0049210D"/>
    <w:rsid w:val="004923F7"/>
    <w:rsid w:val="00493253"/>
    <w:rsid w:val="004939D7"/>
    <w:rsid w:val="004942A6"/>
    <w:rsid w:val="00494394"/>
    <w:rsid w:val="00495382"/>
    <w:rsid w:val="004955E1"/>
    <w:rsid w:val="00495824"/>
    <w:rsid w:val="00496D19"/>
    <w:rsid w:val="004975EB"/>
    <w:rsid w:val="00497CD3"/>
    <w:rsid w:val="00497F07"/>
    <w:rsid w:val="004A0B6D"/>
    <w:rsid w:val="004A0BBD"/>
    <w:rsid w:val="004A0C92"/>
    <w:rsid w:val="004A0F96"/>
    <w:rsid w:val="004A1572"/>
    <w:rsid w:val="004A1F18"/>
    <w:rsid w:val="004A2179"/>
    <w:rsid w:val="004A275B"/>
    <w:rsid w:val="004A2985"/>
    <w:rsid w:val="004A2A63"/>
    <w:rsid w:val="004A4010"/>
    <w:rsid w:val="004A4BA2"/>
    <w:rsid w:val="004A4CC3"/>
    <w:rsid w:val="004A4D95"/>
    <w:rsid w:val="004A4DE4"/>
    <w:rsid w:val="004A545B"/>
    <w:rsid w:val="004A58BE"/>
    <w:rsid w:val="004A5CF7"/>
    <w:rsid w:val="004A5E11"/>
    <w:rsid w:val="004A5F73"/>
    <w:rsid w:val="004A6118"/>
    <w:rsid w:val="004A6AA1"/>
    <w:rsid w:val="004A6C2D"/>
    <w:rsid w:val="004A7000"/>
    <w:rsid w:val="004A75BB"/>
    <w:rsid w:val="004A7F5F"/>
    <w:rsid w:val="004A7FF7"/>
    <w:rsid w:val="004B0309"/>
    <w:rsid w:val="004B042A"/>
    <w:rsid w:val="004B0A45"/>
    <w:rsid w:val="004B0C54"/>
    <w:rsid w:val="004B0D8C"/>
    <w:rsid w:val="004B0FDC"/>
    <w:rsid w:val="004B1214"/>
    <w:rsid w:val="004B1221"/>
    <w:rsid w:val="004B1394"/>
    <w:rsid w:val="004B1435"/>
    <w:rsid w:val="004B1621"/>
    <w:rsid w:val="004B204A"/>
    <w:rsid w:val="004B23DE"/>
    <w:rsid w:val="004B2757"/>
    <w:rsid w:val="004B2D1E"/>
    <w:rsid w:val="004B2ED3"/>
    <w:rsid w:val="004B3D0C"/>
    <w:rsid w:val="004B3ECF"/>
    <w:rsid w:val="004B40CA"/>
    <w:rsid w:val="004B4307"/>
    <w:rsid w:val="004B4EB5"/>
    <w:rsid w:val="004B5173"/>
    <w:rsid w:val="004B5396"/>
    <w:rsid w:val="004B5AEF"/>
    <w:rsid w:val="004B5BE8"/>
    <w:rsid w:val="004B5DB2"/>
    <w:rsid w:val="004B6210"/>
    <w:rsid w:val="004B7164"/>
    <w:rsid w:val="004B7BE7"/>
    <w:rsid w:val="004C0001"/>
    <w:rsid w:val="004C09A0"/>
    <w:rsid w:val="004C0AEF"/>
    <w:rsid w:val="004C115D"/>
    <w:rsid w:val="004C12DD"/>
    <w:rsid w:val="004C1741"/>
    <w:rsid w:val="004C2587"/>
    <w:rsid w:val="004C25EC"/>
    <w:rsid w:val="004C3679"/>
    <w:rsid w:val="004C3778"/>
    <w:rsid w:val="004C381E"/>
    <w:rsid w:val="004C38D3"/>
    <w:rsid w:val="004C4508"/>
    <w:rsid w:val="004C4B75"/>
    <w:rsid w:val="004C5CA1"/>
    <w:rsid w:val="004C5ECB"/>
    <w:rsid w:val="004C5F6D"/>
    <w:rsid w:val="004C6099"/>
    <w:rsid w:val="004C6255"/>
    <w:rsid w:val="004C6CE8"/>
    <w:rsid w:val="004C7662"/>
    <w:rsid w:val="004C7939"/>
    <w:rsid w:val="004D0513"/>
    <w:rsid w:val="004D1383"/>
    <w:rsid w:val="004D16FC"/>
    <w:rsid w:val="004D2D5E"/>
    <w:rsid w:val="004D32D2"/>
    <w:rsid w:val="004D3343"/>
    <w:rsid w:val="004D4083"/>
    <w:rsid w:val="004D46C1"/>
    <w:rsid w:val="004D4FBF"/>
    <w:rsid w:val="004D5FDF"/>
    <w:rsid w:val="004D61B8"/>
    <w:rsid w:val="004D6A36"/>
    <w:rsid w:val="004D6A7B"/>
    <w:rsid w:val="004D702B"/>
    <w:rsid w:val="004D7CAF"/>
    <w:rsid w:val="004E00A5"/>
    <w:rsid w:val="004E0187"/>
    <w:rsid w:val="004E0469"/>
    <w:rsid w:val="004E05C7"/>
    <w:rsid w:val="004E0707"/>
    <w:rsid w:val="004E0805"/>
    <w:rsid w:val="004E0EB5"/>
    <w:rsid w:val="004E111C"/>
    <w:rsid w:val="004E1305"/>
    <w:rsid w:val="004E2022"/>
    <w:rsid w:val="004E2971"/>
    <w:rsid w:val="004E2A2B"/>
    <w:rsid w:val="004E2BD2"/>
    <w:rsid w:val="004E2E66"/>
    <w:rsid w:val="004E3E5F"/>
    <w:rsid w:val="004E4A22"/>
    <w:rsid w:val="004E5561"/>
    <w:rsid w:val="004E5BC6"/>
    <w:rsid w:val="004E62B5"/>
    <w:rsid w:val="004E6EFE"/>
    <w:rsid w:val="004E72DC"/>
    <w:rsid w:val="004E76B4"/>
    <w:rsid w:val="004E7D8A"/>
    <w:rsid w:val="004F0096"/>
    <w:rsid w:val="004F0261"/>
    <w:rsid w:val="004F03C8"/>
    <w:rsid w:val="004F072A"/>
    <w:rsid w:val="004F08BB"/>
    <w:rsid w:val="004F0D9D"/>
    <w:rsid w:val="004F16EE"/>
    <w:rsid w:val="004F1B12"/>
    <w:rsid w:val="004F1BE0"/>
    <w:rsid w:val="004F2835"/>
    <w:rsid w:val="004F2A8B"/>
    <w:rsid w:val="004F3243"/>
    <w:rsid w:val="004F32DD"/>
    <w:rsid w:val="004F3679"/>
    <w:rsid w:val="004F3B6F"/>
    <w:rsid w:val="004F3C12"/>
    <w:rsid w:val="004F3C90"/>
    <w:rsid w:val="004F3CB8"/>
    <w:rsid w:val="004F42CE"/>
    <w:rsid w:val="004F4519"/>
    <w:rsid w:val="004F4601"/>
    <w:rsid w:val="004F4B03"/>
    <w:rsid w:val="004F4B92"/>
    <w:rsid w:val="004F4D28"/>
    <w:rsid w:val="004F608D"/>
    <w:rsid w:val="004F64D4"/>
    <w:rsid w:val="004F68B6"/>
    <w:rsid w:val="004F70A8"/>
    <w:rsid w:val="004F76C9"/>
    <w:rsid w:val="004F7F62"/>
    <w:rsid w:val="00500F3F"/>
    <w:rsid w:val="00501BDB"/>
    <w:rsid w:val="00501E94"/>
    <w:rsid w:val="00502222"/>
    <w:rsid w:val="005025DF"/>
    <w:rsid w:val="00502C11"/>
    <w:rsid w:val="00502F94"/>
    <w:rsid w:val="0050367E"/>
    <w:rsid w:val="00503A41"/>
    <w:rsid w:val="00503C3D"/>
    <w:rsid w:val="00503D94"/>
    <w:rsid w:val="005041E7"/>
    <w:rsid w:val="005046B5"/>
    <w:rsid w:val="005048C5"/>
    <w:rsid w:val="0050516A"/>
    <w:rsid w:val="005053AE"/>
    <w:rsid w:val="00505941"/>
    <w:rsid w:val="00505A87"/>
    <w:rsid w:val="00505E22"/>
    <w:rsid w:val="005062B4"/>
    <w:rsid w:val="00506E95"/>
    <w:rsid w:val="005073F1"/>
    <w:rsid w:val="0050764A"/>
    <w:rsid w:val="00507C12"/>
    <w:rsid w:val="00507D68"/>
    <w:rsid w:val="00507E7E"/>
    <w:rsid w:val="00510388"/>
    <w:rsid w:val="005110CC"/>
    <w:rsid w:val="0051129F"/>
    <w:rsid w:val="0051178F"/>
    <w:rsid w:val="00512ABF"/>
    <w:rsid w:val="00512F88"/>
    <w:rsid w:val="00513469"/>
    <w:rsid w:val="005138B6"/>
    <w:rsid w:val="00514EA2"/>
    <w:rsid w:val="00515276"/>
    <w:rsid w:val="0051590C"/>
    <w:rsid w:val="00515C95"/>
    <w:rsid w:val="00516536"/>
    <w:rsid w:val="00516957"/>
    <w:rsid w:val="00516C17"/>
    <w:rsid w:val="00516E52"/>
    <w:rsid w:val="00516EC0"/>
    <w:rsid w:val="0051743A"/>
    <w:rsid w:val="00517A61"/>
    <w:rsid w:val="00520482"/>
    <w:rsid w:val="00520C29"/>
    <w:rsid w:val="00521076"/>
    <w:rsid w:val="00521774"/>
    <w:rsid w:val="00521A6E"/>
    <w:rsid w:val="00521B95"/>
    <w:rsid w:val="005239DC"/>
    <w:rsid w:val="00524162"/>
    <w:rsid w:val="00524333"/>
    <w:rsid w:val="005244F4"/>
    <w:rsid w:val="0052457A"/>
    <w:rsid w:val="005249EF"/>
    <w:rsid w:val="00524AD0"/>
    <w:rsid w:val="00525063"/>
    <w:rsid w:val="0052542E"/>
    <w:rsid w:val="00525486"/>
    <w:rsid w:val="005257EE"/>
    <w:rsid w:val="0052587B"/>
    <w:rsid w:val="00525C0A"/>
    <w:rsid w:val="00525FC6"/>
    <w:rsid w:val="00526267"/>
    <w:rsid w:val="00526304"/>
    <w:rsid w:val="00526786"/>
    <w:rsid w:val="005269E3"/>
    <w:rsid w:val="00526CD8"/>
    <w:rsid w:val="00526E39"/>
    <w:rsid w:val="00527153"/>
    <w:rsid w:val="005277C8"/>
    <w:rsid w:val="005278AF"/>
    <w:rsid w:val="00527F27"/>
    <w:rsid w:val="005302F4"/>
    <w:rsid w:val="00530602"/>
    <w:rsid w:val="0053065E"/>
    <w:rsid w:val="00530687"/>
    <w:rsid w:val="00530BC0"/>
    <w:rsid w:val="005311F3"/>
    <w:rsid w:val="0053196C"/>
    <w:rsid w:val="00531C57"/>
    <w:rsid w:val="00531CB7"/>
    <w:rsid w:val="0053210B"/>
    <w:rsid w:val="005326A6"/>
    <w:rsid w:val="00532708"/>
    <w:rsid w:val="00532B83"/>
    <w:rsid w:val="00532FA6"/>
    <w:rsid w:val="005330D9"/>
    <w:rsid w:val="0053364D"/>
    <w:rsid w:val="00534757"/>
    <w:rsid w:val="00534947"/>
    <w:rsid w:val="00534C47"/>
    <w:rsid w:val="00535322"/>
    <w:rsid w:val="00535556"/>
    <w:rsid w:val="00535F98"/>
    <w:rsid w:val="0053627D"/>
    <w:rsid w:val="00536941"/>
    <w:rsid w:val="0054003C"/>
    <w:rsid w:val="00540181"/>
    <w:rsid w:val="005403AE"/>
    <w:rsid w:val="00541AC9"/>
    <w:rsid w:val="005424B9"/>
    <w:rsid w:val="00542616"/>
    <w:rsid w:val="00542676"/>
    <w:rsid w:val="0054277D"/>
    <w:rsid w:val="00542D12"/>
    <w:rsid w:val="00542F61"/>
    <w:rsid w:val="00543256"/>
    <w:rsid w:val="00543347"/>
    <w:rsid w:val="0054349D"/>
    <w:rsid w:val="00543E9B"/>
    <w:rsid w:val="00544068"/>
    <w:rsid w:val="0054482E"/>
    <w:rsid w:val="00544937"/>
    <w:rsid w:val="005449EB"/>
    <w:rsid w:val="00545127"/>
    <w:rsid w:val="00545CCE"/>
    <w:rsid w:val="00545F63"/>
    <w:rsid w:val="00546204"/>
    <w:rsid w:val="00546F99"/>
    <w:rsid w:val="005471C1"/>
    <w:rsid w:val="005475B2"/>
    <w:rsid w:val="005475E8"/>
    <w:rsid w:val="00547B90"/>
    <w:rsid w:val="005515D7"/>
    <w:rsid w:val="005516C9"/>
    <w:rsid w:val="0055182C"/>
    <w:rsid w:val="00551852"/>
    <w:rsid w:val="00551F28"/>
    <w:rsid w:val="0055279C"/>
    <w:rsid w:val="0055286F"/>
    <w:rsid w:val="005528B6"/>
    <w:rsid w:val="00552B8A"/>
    <w:rsid w:val="005531A3"/>
    <w:rsid w:val="00553C03"/>
    <w:rsid w:val="00553D05"/>
    <w:rsid w:val="00554D36"/>
    <w:rsid w:val="00554D7F"/>
    <w:rsid w:val="0055506E"/>
    <w:rsid w:val="00555A97"/>
    <w:rsid w:val="00555AAF"/>
    <w:rsid w:val="00555AB8"/>
    <w:rsid w:val="00555D87"/>
    <w:rsid w:val="00555F2D"/>
    <w:rsid w:val="005560B5"/>
    <w:rsid w:val="0055634D"/>
    <w:rsid w:val="005571F1"/>
    <w:rsid w:val="00557AAD"/>
    <w:rsid w:val="00557DF3"/>
    <w:rsid w:val="005600F4"/>
    <w:rsid w:val="00560545"/>
    <w:rsid w:val="00560766"/>
    <w:rsid w:val="00561440"/>
    <w:rsid w:val="0056167C"/>
    <w:rsid w:val="00561A95"/>
    <w:rsid w:val="00561E61"/>
    <w:rsid w:val="0056246B"/>
    <w:rsid w:val="00562776"/>
    <w:rsid w:val="0056322C"/>
    <w:rsid w:val="00563A5E"/>
    <w:rsid w:val="00563D45"/>
    <w:rsid w:val="00563D47"/>
    <w:rsid w:val="00563F69"/>
    <w:rsid w:val="00564195"/>
    <w:rsid w:val="00564E3A"/>
    <w:rsid w:val="0056530E"/>
    <w:rsid w:val="00565644"/>
    <w:rsid w:val="00565E81"/>
    <w:rsid w:val="00566016"/>
    <w:rsid w:val="005668CC"/>
    <w:rsid w:val="00566CA1"/>
    <w:rsid w:val="005673C9"/>
    <w:rsid w:val="00567545"/>
    <w:rsid w:val="00570219"/>
    <w:rsid w:val="00570AE9"/>
    <w:rsid w:val="00571023"/>
    <w:rsid w:val="005716A6"/>
    <w:rsid w:val="00571718"/>
    <w:rsid w:val="0057248B"/>
    <w:rsid w:val="00572600"/>
    <w:rsid w:val="00572AB9"/>
    <w:rsid w:val="00572D98"/>
    <w:rsid w:val="005734E9"/>
    <w:rsid w:val="005734F2"/>
    <w:rsid w:val="005754F2"/>
    <w:rsid w:val="00575692"/>
    <w:rsid w:val="005757D0"/>
    <w:rsid w:val="005769B8"/>
    <w:rsid w:val="00576BF8"/>
    <w:rsid w:val="00576C60"/>
    <w:rsid w:val="0057701A"/>
    <w:rsid w:val="00577B60"/>
    <w:rsid w:val="005800ED"/>
    <w:rsid w:val="00580931"/>
    <w:rsid w:val="00581181"/>
    <w:rsid w:val="00581246"/>
    <w:rsid w:val="00581EF6"/>
    <w:rsid w:val="00582253"/>
    <w:rsid w:val="00583031"/>
    <w:rsid w:val="00583FAC"/>
    <w:rsid w:val="005840C5"/>
    <w:rsid w:val="00584A04"/>
    <w:rsid w:val="005856F5"/>
    <w:rsid w:val="00585A43"/>
    <w:rsid w:val="00585D0E"/>
    <w:rsid w:val="00585E80"/>
    <w:rsid w:val="005862BF"/>
    <w:rsid w:val="00586490"/>
    <w:rsid w:val="00586BBC"/>
    <w:rsid w:val="00587340"/>
    <w:rsid w:val="005879AF"/>
    <w:rsid w:val="00587B2B"/>
    <w:rsid w:val="00591518"/>
    <w:rsid w:val="00591651"/>
    <w:rsid w:val="00591765"/>
    <w:rsid w:val="00592192"/>
    <w:rsid w:val="00592403"/>
    <w:rsid w:val="00592523"/>
    <w:rsid w:val="00592664"/>
    <w:rsid w:val="005928CB"/>
    <w:rsid w:val="00592A14"/>
    <w:rsid w:val="00592A8F"/>
    <w:rsid w:val="00593CF0"/>
    <w:rsid w:val="00594114"/>
    <w:rsid w:val="00594472"/>
    <w:rsid w:val="00594C7D"/>
    <w:rsid w:val="00594D26"/>
    <w:rsid w:val="00596534"/>
    <w:rsid w:val="00596537"/>
    <w:rsid w:val="005976D7"/>
    <w:rsid w:val="00597AB3"/>
    <w:rsid w:val="005A092B"/>
    <w:rsid w:val="005A09F3"/>
    <w:rsid w:val="005A22CD"/>
    <w:rsid w:val="005A2E23"/>
    <w:rsid w:val="005A300E"/>
    <w:rsid w:val="005A50A0"/>
    <w:rsid w:val="005A5F00"/>
    <w:rsid w:val="005A620E"/>
    <w:rsid w:val="005A7517"/>
    <w:rsid w:val="005A779C"/>
    <w:rsid w:val="005B010C"/>
    <w:rsid w:val="005B010F"/>
    <w:rsid w:val="005B0346"/>
    <w:rsid w:val="005B04A3"/>
    <w:rsid w:val="005B0CDB"/>
    <w:rsid w:val="005B0FB3"/>
    <w:rsid w:val="005B120A"/>
    <w:rsid w:val="005B123A"/>
    <w:rsid w:val="005B14D6"/>
    <w:rsid w:val="005B14F3"/>
    <w:rsid w:val="005B1564"/>
    <w:rsid w:val="005B1775"/>
    <w:rsid w:val="005B1ABD"/>
    <w:rsid w:val="005B200B"/>
    <w:rsid w:val="005B3102"/>
    <w:rsid w:val="005B3744"/>
    <w:rsid w:val="005B3763"/>
    <w:rsid w:val="005B3768"/>
    <w:rsid w:val="005B3AB8"/>
    <w:rsid w:val="005B3E91"/>
    <w:rsid w:val="005B4447"/>
    <w:rsid w:val="005B4560"/>
    <w:rsid w:val="005B47E4"/>
    <w:rsid w:val="005B487B"/>
    <w:rsid w:val="005B5B48"/>
    <w:rsid w:val="005B6F6C"/>
    <w:rsid w:val="005B7725"/>
    <w:rsid w:val="005C0036"/>
    <w:rsid w:val="005C028C"/>
    <w:rsid w:val="005C02C9"/>
    <w:rsid w:val="005C03C9"/>
    <w:rsid w:val="005C05B4"/>
    <w:rsid w:val="005C0622"/>
    <w:rsid w:val="005C0939"/>
    <w:rsid w:val="005C098A"/>
    <w:rsid w:val="005C0DE9"/>
    <w:rsid w:val="005C0F3D"/>
    <w:rsid w:val="005C16AC"/>
    <w:rsid w:val="005C22E6"/>
    <w:rsid w:val="005C2589"/>
    <w:rsid w:val="005C2B58"/>
    <w:rsid w:val="005C30F4"/>
    <w:rsid w:val="005C3168"/>
    <w:rsid w:val="005C3E2B"/>
    <w:rsid w:val="005C3F17"/>
    <w:rsid w:val="005C3FCA"/>
    <w:rsid w:val="005C46F2"/>
    <w:rsid w:val="005C47BE"/>
    <w:rsid w:val="005C5CC4"/>
    <w:rsid w:val="005C5D03"/>
    <w:rsid w:val="005C6AB2"/>
    <w:rsid w:val="005C6CD1"/>
    <w:rsid w:val="005C6D59"/>
    <w:rsid w:val="005C6EA3"/>
    <w:rsid w:val="005D007F"/>
    <w:rsid w:val="005D099F"/>
    <w:rsid w:val="005D09DB"/>
    <w:rsid w:val="005D0BC2"/>
    <w:rsid w:val="005D0D0E"/>
    <w:rsid w:val="005D0F53"/>
    <w:rsid w:val="005D1685"/>
    <w:rsid w:val="005D1BAD"/>
    <w:rsid w:val="005D1D0C"/>
    <w:rsid w:val="005D1E14"/>
    <w:rsid w:val="005D2A46"/>
    <w:rsid w:val="005D30BE"/>
    <w:rsid w:val="005D356F"/>
    <w:rsid w:val="005D3C3B"/>
    <w:rsid w:val="005D3C58"/>
    <w:rsid w:val="005D45FE"/>
    <w:rsid w:val="005D47EA"/>
    <w:rsid w:val="005D56AF"/>
    <w:rsid w:val="005D583E"/>
    <w:rsid w:val="005D59B9"/>
    <w:rsid w:val="005D644F"/>
    <w:rsid w:val="005D653E"/>
    <w:rsid w:val="005D6EE2"/>
    <w:rsid w:val="005D7571"/>
    <w:rsid w:val="005D7CED"/>
    <w:rsid w:val="005E0067"/>
    <w:rsid w:val="005E07D6"/>
    <w:rsid w:val="005E0EAA"/>
    <w:rsid w:val="005E1FFC"/>
    <w:rsid w:val="005E252C"/>
    <w:rsid w:val="005E2C7F"/>
    <w:rsid w:val="005E360D"/>
    <w:rsid w:val="005E39DC"/>
    <w:rsid w:val="005E3C9D"/>
    <w:rsid w:val="005E3CDC"/>
    <w:rsid w:val="005E41F6"/>
    <w:rsid w:val="005E42A0"/>
    <w:rsid w:val="005E4D1E"/>
    <w:rsid w:val="005E500A"/>
    <w:rsid w:val="005E510E"/>
    <w:rsid w:val="005E5C4F"/>
    <w:rsid w:val="005E60F8"/>
    <w:rsid w:val="005E6EA0"/>
    <w:rsid w:val="005E6FF0"/>
    <w:rsid w:val="005E760E"/>
    <w:rsid w:val="005F0345"/>
    <w:rsid w:val="005F0C58"/>
    <w:rsid w:val="005F14AA"/>
    <w:rsid w:val="005F19B1"/>
    <w:rsid w:val="005F2570"/>
    <w:rsid w:val="005F331A"/>
    <w:rsid w:val="005F347D"/>
    <w:rsid w:val="005F358D"/>
    <w:rsid w:val="005F43DC"/>
    <w:rsid w:val="005F44C3"/>
    <w:rsid w:val="005F49EE"/>
    <w:rsid w:val="005F586E"/>
    <w:rsid w:val="005F5B40"/>
    <w:rsid w:val="005F6269"/>
    <w:rsid w:val="005F6298"/>
    <w:rsid w:val="005F6547"/>
    <w:rsid w:val="005F7176"/>
    <w:rsid w:val="005F7379"/>
    <w:rsid w:val="005F79C2"/>
    <w:rsid w:val="005F7A20"/>
    <w:rsid w:val="005F7B50"/>
    <w:rsid w:val="00600E4F"/>
    <w:rsid w:val="00600FBD"/>
    <w:rsid w:val="006016BA"/>
    <w:rsid w:val="0060194E"/>
    <w:rsid w:val="006019CA"/>
    <w:rsid w:val="00601AC6"/>
    <w:rsid w:val="0060230D"/>
    <w:rsid w:val="006023D0"/>
    <w:rsid w:val="006024A7"/>
    <w:rsid w:val="00602DDE"/>
    <w:rsid w:val="006033D6"/>
    <w:rsid w:val="00603444"/>
    <w:rsid w:val="0060373D"/>
    <w:rsid w:val="00603D25"/>
    <w:rsid w:val="00603D34"/>
    <w:rsid w:val="006040A8"/>
    <w:rsid w:val="0060456B"/>
    <w:rsid w:val="00607092"/>
    <w:rsid w:val="00607426"/>
    <w:rsid w:val="00607936"/>
    <w:rsid w:val="00607E37"/>
    <w:rsid w:val="00607E8D"/>
    <w:rsid w:val="0061047A"/>
    <w:rsid w:val="00610579"/>
    <w:rsid w:val="00610772"/>
    <w:rsid w:val="00610C86"/>
    <w:rsid w:val="0061160D"/>
    <w:rsid w:val="0061170A"/>
    <w:rsid w:val="00611725"/>
    <w:rsid w:val="00612A1A"/>
    <w:rsid w:val="00612D0C"/>
    <w:rsid w:val="006133F9"/>
    <w:rsid w:val="006144FD"/>
    <w:rsid w:val="006147B1"/>
    <w:rsid w:val="00614A28"/>
    <w:rsid w:val="00614DA4"/>
    <w:rsid w:val="00615373"/>
    <w:rsid w:val="00615434"/>
    <w:rsid w:val="006158B8"/>
    <w:rsid w:val="00615A80"/>
    <w:rsid w:val="00615FD3"/>
    <w:rsid w:val="00616A24"/>
    <w:rsid w:val="00616F04"/>
    <w:rsid w:val="006176FB"/>
    <w:rsid w:val="00617936"/>
    <w:rsid w:val="00620188"/>
    <w:rsid w:val="00620B0F"/>
    <w:rsid w:val="0062122D"/>
    <w:rsid w:val="00621463"/>
    <w:rsid w:val="00621AF1"/>
    <w:rsid w:val="006223BA"/>
    <w:rsid w:val="006231AF"/>
    <w:rsid w:val="00623437"/>
    <w:rsid w:val="00623569"/>
    <w:rsid w:val="0062356D"/>
    <w:rsid w:val="006239B9"/>
    <w:rsid w:val="006240C4"/>
    <w:rsid w:val="0062410B"/>
    <w:rsid w:val="006245C5"/>
    <w:rsid w:val="00624A94"/>
    <w:rsid w:val="00625001"/>
    <w:rsid w:val="006251BC"/>
    <w:rsid w:val="00625248"/>
    <w:rsid w:val="00625329"/>
    <w:rsid w:val="006256B6"/>
    <w:rsid w:val="00625963"/>
    <w:rsid w:val="00625C11"/>
    <w:rsid w:val="0062613F"/>
    <w:rsid w:val="00626300"/>
    <w:rsid w:val="00626577"/>
    <w:rsid w:val="006266E0"/>
    <w:rsid w:val="00626AB9"/>
    <w:rsid w:val="00627C22"/>
    <w:rsid w:val="006300E3"/>
    <w:rsid w:val="006304B8"/>
    <w:rsid w:val="00630E52"/>
    <w:rsid w:val="00631A52"/>
    <w:rsid w:val="00631BB6"/>
    <w:rsid w:val="00631C71"/>
    <w:rsid w:val="00631F5B"/>
    <w:rsid w:val="00632137"/>
    <w:rsid w:val="006321D3"/>
    <w:rsid w:val="0063285A"/>
    <w:rsid w:val="00632B07"/>
    <w:rsid w:val="00632D2C"/>
    <w:rsid w:val="00632E64"/>
    <w:rsid w:val="00632FDA"/>
    <w:rsid w:val="00633387"/>
    <w:rsid w:val="0063359A"/>
    <w:rsid w:val="00633788"/>
    <w:rsid w:val="00633C16"/>
    <w:rsid w:val="0063418C"/>
    <w:rsid w:val="006344BA"/>
    <w:rsid w:val="00634C11"/>
    <w:rsid w:val="0063552B"/>
    <w:rsid w:val="00635945"/>
    <w:rsid w:val="00636880"/>
    <w:rsid w:val="00636B84"/>
    <w:rsid w:val="0063719D"/>
    <w:rsid w:val="0063778F"/>
    <w:rsid w:val="00640077"/>
    <w:rsid w:val="00640370"/>
    <w:rsid w:val="00640A2D"/>
    <w:rsid w:val="006411EB"/>
    <w:rsid w:val="006415F7"/>
    <w:rsid w:val="006422B4"/>
    <w:rsid w:val="006423F6"/>
    <w:rsid w:val="006424FD"/>
    <w:rsid w:val="0064280A"/>
    <w:rsid w:val="0064287D"/>
    <w:rsid w:val="006432FB"/>
    <w:rsid w:val="00643A39"/>
    <w:rsid w:val="00644203"/>
    <w:rsid w:val="00644B95"/>
    <w:rsid w:val="00644E8F"/>
    <w:rsid w:val="00645409"/>
    <w:rsid w:val="00645768"/>
    <w:rsid w:val="00645B0F"/>
    <w:rsid w:val="00645E3A"/>
    <w:rsid w:val="0064629A"/>
    <w:rsid w:val="00646312"/>
    <w:rsid w:val="006465C7"/>
    <w:rsid w:val="006468D3"/>
    <w:rsid w:val="006469DA"/>
    <w:rsid w:val="00646EA2"/>
    <w:rsid w:val="00647594"/>
    <w:rsid w:val="0064767C"/>
    <w:rsid w:val="0064788E"/>
    <w:rsid w:val="00647936"/>
    <w:rsid w:val="00647C06"/>
    <w:rsid w:val="00647E89"/>
    <w:rsid w:val="0065071D"/>
    <w:rsid w:val="00650AC9"/>
    <w:rsid w:val="00650ADC"/>
    <w:rsid w:val="00651516"/>
    <w:rsid w:val="006522E1"/>
    <w:rsid w:val="00652B81"/>
    <w:rsid w:val="00652C77"/>
    <w:rsid w:val="00652CE7"/>
    <w:rsid w:val="00652D13"/>
    <w:rsid w:val="00652E4A"/>
    <w:rsid w:val="006534DA"/>
    <w:rsid w:val="00653571"/>
    <w:rsid w:val="006535C9"/>
    <w:rsid w:val="00653836"/>
    <w:rsid w:val="0065386F"/>
    <w:rsid w:val="00654570"/>
    <w:rsid w:val="00654844"/>
    <w:rsid w:val="0065501A"/>
    <w:rsid w:val="00655340"/>
    <w:rsid w:val="006559C4"/>
    <w:rsid w:val="00656407"/>
    <w:rsid w:val="00657362"/>
    <w:rsid w:val="0066046B"/>
    <w:rsid w:val="006619EE"/>
    <w:rsid w:val="00662108"/>
    <w:rsid w:val="006627C2"/>
    <w:rsid w:val="00662D15"/>
    <w:rsid w:val="00663A92"/>
    <w:rsid w:val="00663C56"/>
    <w:rsid w:val="00664337"/>
    <w:rsid w:val="006644FC"/>
    <w:rsid w:val="0066494C"/>
    <w:rsid w:val="00664C73"/>
    <w:rsid w:val="00664D31"/>
    <w:rsid w:val="00666208"/>
    <w:rsid w:val="006662C4"/>
    <w:rsid w:val="006665FF"/>
    <w:rsid w:val="00666B07"/>
    <w:rsid w:val="00666FE1"/>
    <w:rsid w:val="006676D3"/>
    <w:rsid w:val="006677AD"/>
    <w:rsid w:val="00667B85"/>
    <w:rsid w:val="0067033C"/>
    <w:rsid w:val="006705A4"/>
    <w:rsid w:val="0067085C"/>
    <w:rsid w:val="00670A8A"/>
    <w:rsid w:val="00670C5A"/>
    <w:rsid w:val="00671792"/>
    <w:rsid w:val="00671B3F"/>
    <w:rsid w:val="00671B81"/>
    <w:rsid w:val="006721BA"/>
    <w:rsid w:val="00672478"/>
    <w:rsid w:val="00672EF5"/>
    <w:rsid w:val="00673375"/>
    <w:rsid w:val="006737B4"/>
    <w:rsid w:val="0067441F"/>
    <w:rsid w:val="0067488C"/>
    <w:rsid w:val="006757DF"/>
    <w:rsid w:val="0067582E"/>
    <w:rsid w:val="0067660E"/>
    <w:rsid w:val="0067684D"/>
    <w:rsid w:val="00676AFD"/>
    <w:rsid w:val="00676C15"/>
    <w:rsid w:val="0067721D"/>
    <w:rsid w:val="0067722A"/>
    <w:rsid w:val="0067773F"/>
    <w:rsid w:val="00677D01"/>
    <w:rsid w:val="00680617"/>
    <w:rsid w:val="00680720"/>
    <w:rsid w:val="00680E76"/>
    <w:rsid w:val="00681B49"/>
    <w:rsid w:val="00681CFA"/>
    <w:rsid w:val="00681E4A"/>
    <w:rsid w:val="0068203F"/>
    <w:rsid w:val="006826C2"/>
    <w:rsid w:val="00682EFB"/>
    <w:rsid w:val="0068346D"/>
    <w:rsid w:val="006838B7"/>
    <w:rsid w:val="006838E3"/>
    <w:rsid w:val="00683D33"/>
    <w:rsid w:val="00684346"/>
    <w:rsid w:val="00684A56"/>
    <w:rsid w:val="00684B3A"/>
    <w:rsid w:val="00684B4D"/>
    <w:rsid w:val="006855E8"/>
    <w:rsid w:val="00685985"/>
    <w:rsid w:val="00686091"/>
    <w:rsid w:val="0068618F"/>
    <w:rsid w:val="006863F3"/>
    <w:rsid w:val="0068657C"/>
    <w:rsid w:val="00686B81"/>
    <w:rsid w:val="00686F1B"/>
    <w:rsid w:val="0068796B"/>
    <w:rsid w:val="006907F8"/>
    <w:rsid w:val="00690A9A"/>
    <w:rsid w:val="00690D36"/>
    <w:rsid w:val="00691356"/>
    <w:rsid w:val="00691712"/>
    <w:rsid w:val="006917D3"/>
    <w:rsid w:val="006929D5"/>
    <w:rsid w:val="00692C39"/>
    <w:rsid w:val="00692C75"/>
    <w:rsid w:val="00692CC5"/>
    <w:rsid w:val="00693643"/>
    <w:rsid w:val="0069379C"/>
    <w:rsid w:val="0069487B"/>
    <w:rsid w:val="00694CEB"/>
    <w:rsid w:val="00694D8D"/>
    <w:rsid w:val="00695185"/>
    <w:rsid w:val="006953E9"/>
    <w:rsid w:val="00695500"/>
    <w:rsid w:val="00695F9F"/>
    <w:rsid w:val="0069600E"/>
    <w:rsid w:val="00696439"/>
    <w:rsid w:val="00696834"/>
    <w:rsid w:val="00696E04"/>
    <w:rsid w:val="00697079"/>
    <w:rsid w:val="006970B9"/>
    <w:rsid w:val="006979F9"/>
    <w:rsid w:val="006A0ACE"/>
    <w:rsid w:val="006A1E2B"/>
    <w:rsid w:val="006A22E9"/>
    <w:rsid w:val="006A3050"/>
    <w:rsid w:val="006A344A"/>
    <w:rsid w:val="006A39BC"/>
    <w:rsid w:val="006A4204"/>
    <w:rsid w:val="006A45AF"/>
    <w:rsid w:val="006A48F8"/>
    <w:rsid w:val="006A5287"/>
    <w:rsid w:val="006A5309"/>
    <w:rsid w:val="006A5E89"/>
    <w:rsid w:val="006A6CE0"/>
    <w:rsid w:val="006A6FB1"/>
    <w:rsid w:val="006A7548"/>
    <w:rsid w:val="006A75A3"/>
    <w:rsid w:val="006A761F"/>
    <w:rsid w:val="006A76A1"/>
    <w:rsid w:val="006A7EE9"/>
    <w:rsid w:val="006B081C"/>
    <w:rsid w:val="006B0AD3"/>
    <w:rsid w:val="006B1017"/>
    <w:rsid w:val="006B1058"/>
    <w:rsid w:val="006B13A4"/>
    <w:rsid w:val="006B161B"/>
    <w:rsid w:val="006B1AC5"/>
    <w:rsid w:val="006B1C65"/>
    <w:rsid w:val="006B2103"/>
    <w:rsid w:val="006B2189"/>
    <w:rsid w:val="006B2385"/>
    <w:rsid w:val="006B3F1F"/>
    <w:rsid w:val="006B4078"/>
    <w:rsid w:val="006B456A"/>
    <w:rsid w:val="006B47C6"/>
    <w:rsid w:val="006B4A8B"/>
    <w:rsid w:val="006B4CB3"/>
    <w:rsid w:val="006B5148"/>
    <w:rsid w:val="006B53E9"/>
    <w:rsid w:val="006B5521"/>
    <w:rsid w:val="006B5722"/>
    <w:rsid w:val="006B57E6"/>
    <w:rsid w:val="006B585D"/>
    <w:rsid w:val="006B58AC"/>
    <w:rsid w:val="006B6909"/>
    <w:rsid w:val="006B6AC4"/>
    <w:rsid w:val="006B6E36"/>
    <w:rsid w:val="006B6E91"/>
    <w:rsid w:val="006B6FFB"/>
    <w:rsid w:val="006B7A27"/>
    <w:rsid w:val="006C0EE3"/>
    <w:rsid w:val="006C16C0"/>
    <w:rsid w:val="006C182A"/>
    <w:rsid w:val="006C1CE9"/>
    <w:rsid w:val="006C21E4"/>
    <w:rsid w:val="006C22F6"/>
    <w:rsid w:val="006C325A"/>
    <w:rsid w:val="006C3EBA"/>
    <w:rsid w:val="006C3EE1"/>
    <w:rsid w:val="006C41EB"/>
    <w:rsid w:val="006C48E4"/>
    <w:rsid w:val="006C4A2F"/>
    <w:rsid w:val="006C4A93"/>
    <w:rsid w:val="006C4C2F"/>
    <w:rsid w:val="006C4CE1"/>
    <w:rsid w:val="006C5842"/>
    <w:rsid w:val="006C5D45"/>
    <w:rsid w:val="006C607E"/>
    <w:rsid w:val="006C6097"/>
    <w:rsid w:val="006C63F5"/>
    <w:rsid w:val="006D0084"/>
    <w:rsid w:val="006D096D"/>
    <w:rsid w:val="006D1544"/>
    <w:rsid w:val="006D185E"/>
    <w:rsid w:val="006D19E0"/>
    <w:rsid w:val="006D3D9A"/>
    <w:rsid w:val="006D459A"/>
    <w:rsid w:val="006D4CC2"/>
    <w:rsid w:val="006D5A43"/>
    <w:rsid w:val="006D6062"/>
    <w:rsid w:val="006D61E9"/>
    <w:rsid w:val="006D65F0"/>
    <w:rsid w:val="006D6A2B"/>
    <w:rsid w:val="006D72E0"/>
    <w:rsid w:val="006D7A8E"/>
    <w:rsid w:val="006D7F46"/>
    <w:rsid w:val="006E0284"/>
    <w:rsid w:val="006E0287"/>
    <w:rsid w:val="006E09D4"/>
    <w:rsid w:val="006E13FF"/>
    <w:rsid w:val="006E16FD"/>
    <w:rsid w:val="006E223F"/>
    <w:rsid w:val="006E267C"/>
    <w:rsid w:val="006E2752"/>
    <w:rsid w:val="006E2D88"/>
    <w:rsid w:val="006E2DF4"/>
    <w:rsid w:val="006E3220"/>
    <w:rsid w:val="006E32F0"/>
    <w:rsid w:val="006E3B8F"/>
    <w:rsid w:val="006E3CC8"/>
    <w:rsid w:val="006E3D70"/>
    <w:rsid w:val="006E404F"/>
    <w:rsid w:val="006E5486"/>
    <w:rsid w:val="006E603B"/>
    <w:rsid w:val="006E6B92"/>
    <w:rsid w:val="006F12FD"/>
    <w:rsid w:val="006F1412"/>
    <w:rsid w:val="006F1C00"/>
    <w:rsid w:val="006F1C91"/>
    <w:rsid w:val="006F2B01"/>
    <w:rsid w:val="006F2B9D"/>
    <w:rsid w:val="006F2DA2"/>
    <w:rsid w:val="006F3972"/>
    <w:rsid w:val="006F3B8F"/>
    <w:rsid w:val="006F3DAA"/>
    <w:rsid w:val="006F44BC"/>
    <w:rsid w:val="006F4DC8"/>
    <w:rsid w:val="006F4E21"/>
    <w:rsid w:val="006F53C0"/>
    <w:rsid w:val="006F572C"/>
    <w:rsid w:val="006F5D65"/>
    <w:rsid w:val="006F637A"/>
    <w:rsid w:val="006F66AB"/>
    <w:rsid w:val="006F6888"/>
    <w:rsid w:val="006F6A7D"/>
    <w:rsid w:val="006F6DC8"/>
    <w:rsid w:val="006F72C0"/>
    <w:rsid w:val="006F774F"/>
    <w:rsid w:val="006F7C89"/>
    <w:rsid w:val="007017BF"/>
    <w:rsid w:val="00701C99"/>
    <w:rsid w:val="00701DF1"/>
    <w:rsid w:val="0070215A"/>
    <w:rsid w:val="00702CD9"/>
    <w:rsid w:val="00702FD6"/>
    <w:rsid w:val="00703347"/>
    <w:rsid w:val="00703361"/>
    <w:rsid w:val="007044EC"/>
    <w:rsid w:val="00704C50"/>
    <w:rsid w:val="0070618A"/>
    <w:rsid w:val="00706B72"/>
    <w:rsid w:val="00707117"/>
    <w:rsid w:val="00707627"/>
    <w:rsid w:val="00707DF0"/>
    <w:rsid w:val="00707FB7"/>
    <w:rsid w:val="00710192"/>
    <w:rsid w:val="00710666"/>
    <w:rsid w:val="00710A2C"/>
    <w:rsid w:val="007119D1"/>
    <w:rsid w:val="00711E17"/>
    <w:rsid w:val="007122CB"/>
    <w:rsid w:val="007125EC"/>
    <w:rsid w:val="00712616"/>
    <w:rsid w:val="00712B7F"/>
    <w:rsid w:val="00712E2B"/>
    <w:rsid w:val="007136AE"/>
    <w:rsid w:val="00713B15"/>
    <w:rsid w:val="007142C5"/>
    <w:rsid w:val="007149C1"/>
    <w:rsid w:val="00715867"/>
    <w:rsid w:val="00715D0C"/>
    <w:rsid w:val="0071603A"/>
    <w:rsid w:val="00716781"/>
    <w:rsid w:val="00717CC0"/>
    <w:rsid w:val="0072046E"/>
    <w:rsid w:val="00720EE8"/>
    <w:rsid w:val="00720FF1"/>
    <w:rsid w:val="00721572"/>
    <w:rsid w:val="00721CB9"/>
    <w:rsid w:val="007220C8"/>
    <w:rsid w:val="0072241A"/>
    <w:rsid w:val="00722BA9"/>
    <w:rsid w:val="00722D38"/>
    <w:rsid w:val="00722DCA"/>
    <w:rsid w:val="00722F22"/>
    <w:rsid w:val="00724AAE"/>
    <w:rsid w:val="00724D12"/>
    <w:rsid w:val="007255D2"/>
    <w:rsid w:val="0072587B"/>
    <w:rsid w:val="00725A79"/>
    <w:rsid w:val="00725B3B"/>
    <w:rsid w:val="00725E7A"/>
    <w:rsid w:val="00726054"/>
    <w:rsid w:val="00726140"/>
    <w:rsid w:val="00726765"/>
    <w:rsid w:val="00726D2B"/>
    <w:rsid w:val="0072734B"/>
    <w:rsid w:val="007273D4"/>
    <w:rsid w:val="00727433"/>
    <w:rsid w:val="007277FF"/>
    <w:rsid w:val="00727BC9"/>
    <w:rsid w:val="00727CD2"/>
    <w:rsid w:val="007301BF"/>
    <w:rsid w:val="00730880"/>
    <w:rsid w:val="007309A1"/>
    <w:rsid w:val="007315F2"/>
    <w:rsid w:val="0073180C"/>
    <w:rsid w:val="00731D1B"/>
    <w:rsid w:val="007321FF"/>
    <w:rsid w:val="00732238"/>
    <w:rsid w:val="0073240D"/>
    <w:rsid w:val="00732B5C"/>
    <w:rsid w:val="00732B6D"/>
    <w:rsid w:val="00732DBB"/>
    <w:rsid w:val="007332D0"/>
    <w:rsid w:val="007334C9"/>
    <w:rsid w:val="007336F5"/>
    <w:rsid w:val="007337DB"/>
    <w:rsid w:val="00733EBD"/>
    <w:rsid w:val="0073414A"/>
    <w:rsid w:val="00734501"/>
    <w:rsid w:val="0073484A"/>
    <w:rsid w:val="00734D8A"/>
    <w:rsid w:val="007350E9"/>
    <w:rsid w:val="00735416"/>
    <w:rsid w:val="0073565E"/>
    <w:rsid w:val="00735C91"/>
    <w:rsid w:val="00736051"/>
    <w:rsid w:val="00737E89"/>
    <w:rsid w:val="00740084"/>
    <w:rsid w:val="00740117"/>
    <w:rsid w:val="007402A9"/>
    <w:rsid w:val="00740CD7"/>
    <w:rsid w:val="007410EF"/>
    <w:rsid w:val="00741624"/>
    <w:rsid w:val="00742798"/>
    <w:rsid w:val="007427BF"/>
    <w:rsid w:val="00742C9E"/>
    <w:rsid w:val="00743380"/>
    <w:rsid w:val="00743E00"/>
    <w:rsid w:val="00743F7E"/>
    <w:rsid w:val="0074484A"/>
    <w:rsid w:val="0074485B"/>
    <w:rsid w:val="00745161"/>
    <w:rsid w:val="0074516B"/>
    <w:rsid w:val="00745BFD"/>
    <w:rsid w:val="00745CAB"/>
    <w:rsid w:val="00745FDA"/>
    <w:rsid w:val="00746431"/>
    <w:rsid w:val="00746513"/>
    <w:rsid w:val="007465B4"/>
    <w:rsid w:val="00746B28"/>
    <w:rsid w:val="00746B30"/>
    <w:rsid w:val="00746E79"/>
    <w:rsid w:val="00746F9C"/>
    <w:rsid w:val="00747494"/>
    <w:rsid w:val="00747687"/>
    <w:rsid w:val="00747E62"/>
    <w:rsid w:val="0075056B"/>
    <w:rsid w:val="007509C5"/>
    <w:rsid w:val="00750B20"/>
    <w:rsid w:val="007511C7"/>
    <w:rsid w:val="007524A0"/>
    <w:rsid w:val="00753102"/>
    <w:rsid w:val="00753AE4"/>
    <w:rsid w:val="00753E3E"/>
    <w:rsid w:val="00754801"/>
    <w:rsid w:val="00754941"/>
    <w:rsid w:val="00754BD0"/>
    <w:rsid w:val="00754D9C"/>
    <w:rsid w:val="00755591"/>
    <w:rsid w:val="007555CD"/>
    <w:rsid w:val="0075564C"/>
    <w:rsid w:val="00755939"/>
    <w:rsid w:val="00756742"/>
    <w:rsid w:val="007568B0"/>
    <w:rsid w:val="00756B34"/>
    <w:rsid w:val="0075708B"/>
    <w:rsid w:val="007572B0"/>
    <w:rsid w:val="00757A2E"/>
    <w:rsid w:val="00761B1A"/>
    <w:rsid w:val="0076201B"/>
    <w:rsid w:val="007620A9"/>
    <w:rsid w:val="00762FC6"/>
    <w:rsid w:val="007630BA"/>
    <w:rsid w:val="00763165"/>
    <w:rsid w:val="0076338C"/>
    <w:rsid w:val="00763828"/>
    <w:rsid w:val="00763ED0"/>
    <w:rsid w:val="00764058"/>
    <w:rsid w:val="00764149"/>
    <w:rsid w:val="00765101"/>
    <w:rsid w:val="007661A6"/>
    <w:rsid w:val="00767C83"/>
    <w:rsid w:val="00770795"/>
    <w:rsid w:val="007710C6"/>
    <w:rsid w:val="00771FDC"/>
    <w:rsid w:val="00772C70"/>
    <w:rsid w:val="00773829"/>
    <w:rsid w:val="00774102"/>
    <w:rsid w:val="00774200"/>
    <w:rsid w:val="00774484"/>
    <w:rsid w:val="007746C3"/>
    <w:rsid w:val="00775B8E"/>
    <w:rsid w:val="00775BF7"/>
    <w:rsid w:val="00776062"/>
    <w:rsid w:val="00776073"/>
    <w:rsid w:val="007760DD"/>
    <w:rsid w:val="007761ED"/>
    <w:rsid w:val="00776564"/>
    <w:rsid w:val="007766C8"/>
    <w:rsid w:val="00777442"/>
    <w:rsid w:val="0077755B"/>
    <w:rsid w:val="00780005"/>
    <w:rsid w:val="00780390"/>
    <w:rsid w:val="00781188"/>
    <w:rsid w:val="00781327"/>
    <w:rsid w:val="00781592"/>
    <w:rsid w:val="007815D7"/>
    <w:rsid w:val="0078234C"/>
    <w:rsid w:val="007823E6"/>
    <w:rsid w:val="00782737"/>
    <w:rsid w:val="00782D9E"/>
    <w:rsid w:val="00783309"/>
    <w:rsid w:val="00784048"/>
    <w:rsid w:val="0078407B"/>
    <w:rsid w:val="007845B7"/>
    <w:rsid w:val="00784A5F"/>
    <w:rsid w:val="00784FE1"/>
    <w:rsid w:val="0078513A"/>
    <w:rsid w:val="00785362"/>
    <w:rsid w:val="00785AB4"/>
    <w:rsid w:val="00786688"/>
    <w:rsid w:val="00786CA1"/>
    <w:rsid w:val="00786DE2"/>
    <w:rsid w:val="0078747C"/>
    <w:rsid w:val="007875D1"/>
    <w:rsid w:val="0079017A"/>
    <w:rsid w:val="00790391"/>
    <w:rsid w:val="00790F62"/>
    <w:rsid w:val="00791DBC"/>
    <w:rsid w:val="00791ED1"/>
    <w:rsid w:val="007927F5"/>
    <w:rsid w:val="00792BEC"/>
    <w:rsid w:val="00792E58"/>
    <w:rsid w:val="00793B9A"/>
    <w:rsid w:val="00793C9D"/>
    <w:rsid w:val="00793FED"/>
    <w:rsid w:val="007944F3"/>
    <w:rsid w:val="00794A89"/>
    <w:rsid w:val="00794ABC"/>
    <w:rsid w:val="00794C4B"/>
    <w:rsid w:val="00795AC4"/>
    <w:rsid w:val="007964FC"/>
    <w:rsid w:val="00796918"/>
    <w:rsid w:val="00796A65"/>
    <w:rsid w:val="00796B91"/>
    <w:rsid w:val="00796C95"/>
    <w:rsid w:val="007973D2"/>
    <w:rsid w:val="007976B5"/>
    <w:rsid w:val="0079782E"/>
    <w:rsid w:val="00797C17"/>
    <w:rsid w:val="00797E40"/>
    <w:rsid w:val="00797E4B"/>
    <w:rsid w:val="007A00B8"/>
    <w:rsid w:val="007A0284"/>
    <w:rsid w:val="007A0411"/>
    <w:rsid w:val="007A05EF"/>
    <w:rsid w:val="007A06B1"/>
    <w:rsid w:val="007A099C"/>
    <w:rsid w:val="007A09AA"/>
    <w:rsid w:val="007A0C17"/>
    <w:rsid w:val="007A1E4E"/>
    <w:rsid w:val="007A2350"/>
    <w:rsid w:val="007A28B9"/>
    <w:rsid w:val="007A2A6F"/>
    <w:rsid w:val="007A2F70"/>
    <w:rsid w:val="007A3306"/>
    <w:rsid w:val="007A3605"/>
    <w:rsid w:val="007A3BA5"/>
    <w:rsid w:val="007A3BCF"/>
    <w:rsid w:val="007A40D3"/>
    <w:rsid w:val="007A4D46"/>
    <w:rsid w:val="007A54A9"/>
    <w:rsid w:val="007A597E"/>
    <w:rsid w:val="007A5E7B"/>
    <w:rsid w:val="007A696F"/>
    <w:rsid w:val="007A71D3"/>
    <w:rsid w:val="007A73B6"/>
    <w:rsid w:val="007A7567"/>
    <w:rsid w:val="007A7828"/>
    <w:rsid w:val="007B0368"/>
    <w:rsid w:val="007B0488"/>
    <w:rsid w:val="007B058F"/>
    <w:rsid w:val="007B131E"/>
    <w:rsid w:val="007B1BAA"/>
    <w:rsid w:val="007B1DAA"/>
    <w:rsid w:val="007B2898"/>
    <w:rsid w:val="007B3147"/>
    <w:rsid w:val="007B42CE"/>
    <w:rsid w:val="007B44AE"/>
    <w:rsid w:val="007B4808"/>
    <w:rsid w:val="007B4FB2"/>
    <w:rsid w:val="007B5488"/>
    <w:rsid w:val="007B5EDE"/>
    <w:rsid w:val="007B5F25"/>
    <w:rsid w:val="007B62E0"/>
    <w:rsid w:val="007B638D"/>
    <w:rsid w:val="007B7008"/>
    <w:rsid w:val="007B7443"/>
    <w:rsid w:val="007B7C23"/>
    <w:rsid w:val="007C0610"/>
    <w:rsid w:val="007C077E"/>
    <w:rsid w:val="007C0C87"/>
    <w:rsid w:val="007C12FC"/>
    <w:rsid w:val="007C1530"/>
    <w:rsid w:val="007C1775"/>
    <w:rsid w:val="007C1930"/>
    <w:rsid w:val="007C27A6"/>
    <w:rsid w:val="007C2ED9"/>
    <w:rsid w:val="007C3737"/>
    <w:rsid w:val="007C3794"/>
    <w:rsid w:val="007C3B42"/>
    <w:rsid w:val="007C3F90"/>
    <w:rsid w:val="007C3FD8"/>
    <w:rsid w:val="007C58A0"/>
    <w:rsid w:val="007C5AAC"/>
    <w:rsid w:val="007C5C9A"/>
    <w:rsid w:val="007C667E"/>
    <w:rsid w:val="007C688C"/>
    <w:rsid w:val="007C6F7F"/>
    <w:rsid w:val="007C715C"/>
    <w:rsid w:val="007C71B5"/>
    <w:rsid w:val="007C770C"/>
    <w:rsid w:val="007C7C16"/>
    <w:rsid w:val="007C7E03"/>
    <w:rsid w:val="007C7E7E"/>
    <w:rsid w:val="007D06E1"/>
    <w:rsid w:val="007D0E2C"/>
    <w:rsid w:val="007D1289"/>
    <w:rsid w:val="007D12B9"/>
    <w:rsid w:val="007D147C"/>
    <w:rsid w:val="007D15B0"/>
    <w:rsid w:val="007D174F"/>
    <w:rsid w:val="007D258F"/>
    <w:rsid w:val="007D2E0D"/>
    <w:rsid w:val="007D30FB"/>
    <w:rsid w:val="007D3121"/>
    <w:rsid w:val="007D3642"/>
    <w:rsid w:val="007D3727"/>
    <w:rsid w:val="007D39AB"/>
    <w:rsid w:val="007D5769"/>
    <w:rsid w:val="007D598E"/>
    <w:rsid w:val="007D6261"/>
    <w:rsid w:val="007D6C1A"/>
    <w:rsid w:val="007D7B51"/>
    <w:rsid w:val="007E03D0"/>
    <w:rsid w:val="007E1991"/>
    <w:rsid w:val="007E1F89"/>
    <w:rsid w:val="007E206C"/>
    <w:rsid w:val="007E2BD2"/>
    <w:rsid w:val="007E493B"/>
    <w:rsid w:val="007E4C2F"/>
    <w:rsid w:val="007E58B0"/>
    <w:rsid w:val="007E58B1"/>
    <w:rsid w:val="007E5B01"/>
    <w:rsid w:val="007E5CB8"/>
    <w:rsid w:val="007E6667"/>
    <w:rsid w:val="007E68F0"/>
    <w:rsid w:val="007E751F"/>
    <w:rsid w:val="007E7A00"/>
    <w:rsid w:val="007E7D98"/>
    <w:rsid w:val="007E7E61"/>
    <w:rsid w:val="007F00D2"/>
    <w:rsid w:val="007F08DC"/>
    <w:rsid w:val="007F0BF6"/>
    <w:rsid w:val="007F1087"/>
    <w:rsid w:val="007F1578"/>
    <w:rsid w:val="007F2277"/>
    <w:rsid w:val="007F22D3"/>
    <w:rsid w:val="007F278E"/>
    <w:rsid w:val="007F2DE2"/>
    <w:rsid w:val="007F2F01"/>
    <w:rsid w:val="007F456B"/>
    <w:rsid w:val="007F57CF"/>
    <w:rsid w:val="007F5A1C"/>
    <w:rsid w:val="007F5CC3"/>
    <w:rsid w:val="007F5F34"/>
    <w:rsid w:val="007F6172"/>
    <w:rsid w:val="007F629B"/>
    <w:rsid w:val="007F655E"/>
    <w:rsid w:val="007F6938"/>
    <w:rsid w:val="007F79CA"/>
    <w:rsid w:val="007F7BD9"/>
    <w:rsid w:val="007F7FD1"/>
    <w:rsid w:val="008003AC"/>
    <w:rsid w:val="00800C8B"/>
    <w:rsid w:val="00800D51"/>
    <w:rsid w:val="008015DF"/>
    <w:rsid w:val="0080174E"/>
    <w:rsid w:val="008024F8"/>
    <w:rsid w:val="00802EE0"/>
    <w:rsid w:val="00803277"/>
    <w:rsid w:val="00803785"/>
    <w:rsid w:val="00804E6C"/>
    <w:rsid w:val="00805475"/>
    <w:rsid w:val="008056FF"/>
    <w:rsid w:val="00805812"/>
    <w:rsid w:val="00805C15"/>
    <w:rsid w:val="00805FAF"/>
    <w:rsid w:val="008062E7"/>
    <w:rsid w:val="00806413"/>
    <w:rsid w:val="00806D1D"/>
    <w:rsid w:val="00806F22"/>
    <w:rsid w:val="00806F2B"/>
    <w:rsid w:val="008077F7"/>
    <w:rsid w:val="008078A8"/>
    <w:rsid w:val="00807A6C"/>
    <w:rsid w:val="00810783"/>
    <w:rsid w:val="00811E60"/>
    <w:rsid w:val="0081249C"/>
    <w:rsid w:val="008124A8"/>
    <w:rsid w:val="00812877"/>
    <w:rsid w:val="00812C82"/>
    <w:rsid w:val="00812F6A"/>
    <w:rsid w:val="00814617"/>
    <w:rsid w:val="00814682"/>
    <w:rsid w:val="00814706"/>
    <w:rsid w:val="008155E4"/>
    <w:rsid w:val="00815AEC"/>
    <w:rsid w:val="00815FEF"/>
    <w:rsid w:val="00816A97"/>
    <w:rsid w:val="00816C68"/>
    <w:rsid w:val="00817244"/>
    <w:rsid w:val="008173C9"/>
    <w:rsid w:val="00817640"/>
    <w:rsid w:val="00817668"/>
    <w:rsid w:val="0081789D"/>
    <w:rsid w:val="00817A3B"/>
    <w:rsid w:val="008200D4"/>
    <w:rsid w:val="008204D7"/>
    <w:rsid w:val="008207F1"/>
    <w:rsid w:val="00821ADE"/>
    <w:rsid w:val="00821F16"/>
    <w:rsid w:val="0082215B"/>
    <w:rsid w:val="00822443"/>
    <w:rsid w:val="0082261B"/>
    <w:rsid w:val="00822628"/>
    <w:rsid w:val="008226E9"/>
    <w:rsid w:val="00822F74"/>
    <w:rsid w:val="00823020"/>
    <w:rsid w:val="008233E0"/>
    <w:rsid w:val="00823525"/>
    <w:rsid w:val="00823780"/>
    <w:rsid w:val="0082379F"/>
    <w:rsid w:val="00824792"/>
    <w:rsid w:val="00824954"/>
    <w:rsid w:val="00824C7D"/>
    <w:rsid w:val="00825181"/>
    <w:rsid w:val="00826AF2"/>
    <w:rsid w:val="00827178"/>
    <w:rsid w:val="0082725C"/>
    <w:rsid w:val="00827CCA"/>
    <w:rsid w:val="0083089E"/>
    <w:rsid w:val="00830ADA"/>
    <w:rsid w:val="00830D31"/>
    <w:rsid w:val="00831187"/>
    <w:rsid w:val="008314DD"/>
    <w:rsid w:val="0083156E"/>
    <w:rsid w:val="008319C2"/>
    <w:rsid w:val="00831BAC"/>
    <w:rsid w:val="00831DE2"/>
    <w:rsid w:val="00832A64"/>
    <w:rsid w:val="00834259"/>
    <w:rsid w:val="008348D2"/>
    <w:rsid w:val="00834912"/>
    <w:rsid w:val="00834F80"/>
    <w:rsid w:val="00835640"/>
    <w:rsid w:val="00835CF9"/>
    <w:rsid w:val="00837B4F"/>
    <w:rsid w:val="008403D1"/>
    <w:rsid w:val="00840C9C"/>
    <w:rsid w:val="008410E4"/>
    <w:rsid w:val="008411F7"/>
    <w:rsid w:val="00841B5D"/>
    <w:rsid w:val="00842BE7"/>
    <w:rsid w:val="00843261"/>
    <w:rsid w:val="00843280"/>
    <w:rsid w:val="00843588"/>
    <w:rsid w:val="008439B9"/>
    <w:rsid w:val="00843A1D"/>
    <w:rsid w:val="00843C03"/>
    <w:rsid w:val="00845942"/>
    <w:rsid w:val="00845AEA"/>
    <w:rsid w:val="00845FF8"/>
    <w:rsid w:val="008467BB"/>
    <w:rsid w:val="008468E5"/>
    <w:rsid w:val="0084690C"/>
    <w:rsid w:val="00846D5B"/>
    <w:rsid w:val="00850628"/>
    <w:rsid w:val="0085079B"/>
    <w:rsid w:val="00851C23"/>
    <w:rsid w:val="008520A3"/>
    <w:rsid w:val="008521F8"/>
    <w:rsid w:val="008522B0"/>
    <w:rsid w:val="00852306"/>
    <w:rsid w:val="00852458"/>
    <w:rsid w:val="0085266C"/>
    <w:rsid w:val="00852994"/>
    <w:rsid w:val="00852BB3"/>
    <w:rsid w:val="00852FD7"/>
    <w:rsid w:val="00853077"/>
    <w:rsid w:val="00853D7A"/>
    <w:rsid w:val="00853D99"/>
    <w:rsid w:val="008541C8"/>
    <w:rsid w:val="0085471D"/>
    <w:rsid w:val="0085487D"/>
    <w:rsid w:val="0085498B"/>
    <w:rsid w:val="00855137"/>
    <w:rsid w:val="008556A5"/>
    <w:rsid w:val="008565A6"/>
    <w:rsid w:val="0085687E"/>
    <w:rsid w:val="00856992"/>
    <w:rsid w:val="00856B43"/>
    <w:rsid w:val="00857C94"/>
    <w:rsid w:val="008602AF"/>
    <w:rsid w:val="008604F6"/>
    <w:rsid w:val="0086098A"/>
    <w:rsid w:val="00862E94"/>
    <w:rsid w:val="00863A7E"/>
    <w:rsid w:val="00863EE6"/>
    <w:rsid w:val="00864BE9"/>
    <w:rsid w:val="00865F78"/>
    <w:rsid w:val="008665AA"/>
    <w:rsid w:val="008665FC"/>
    <w:rsid w:val="008669F0"/>
    <w:rsid w:val="00867819"/>
    <w:rsid w:val="008678BC"/>
    <w:rsid w:val="00867910"/>
    <w:rsid w:val="00867A6A"/>
    <w:rsid w:val="00867C10"/>
    <w:rsid w:val="00867D41"/>
    <w:rsid w:val="00870295"/>
    <w:rsid w:val="00870A8F"/>
    <w:rsid w:val="0087133B"/>
    <w:rsid w:val="008713C5"/>
    <w:rsid w:val="0087175C"/>
    <w:rsid w:val="00871B08"/>
    <w:rsid w:val="008723A3"/>
    <w:rsid w:val="00873068"/>
    <w:rsid w:val="0087396D"/>
    <w:rsid w:val="00873B20"/>
    <w:rsid w:val="00873F4C"/>
    <w:rsid w:val="00874B70"/>
    <w:rsid w:val="0087584D"/>
    <w:rsid w:val="00875DC3"/>
    <w:rsid w:val="00875F9C"/>
    <w:rsid w:val="00876A07"/>
    <w:rsid w:val="00877388"/>
    <w:rsid w:val="0087744C"/>
    <w:rsid w:val="00880140"/>
    <w:rsid w:val="00880F89"/>
    <w:rsid w:val="008810D1"/>
    <w:rsid w:val="008811AF"/>
    <w:rsid w:val="00881A8D"/>
    <w:rsid w:val="00881D7A"/>
    <w:rsid w:val="00881E16"/>
    <w:rsid w:val="00882BF0"/>
    <w:rsid w:val="00883324"/>
    <w:rsid w:val="008834F3"/>
    <w:rsid w:val="00883A57"/>
    <w:rsid w:val="008845F1"/>
    <w:rsid w:val="008846F3"/>
    <w:rsid w:val="00884961"/>
    <w:rsid w:val="00884AC0"/>
    <w:rsid w:val="00884BE8"/>
    <w:rsid w:val="00884CB1"/>
    <w:rsid w:val="008852C3"/>
    <w:rsid w:val="0088676F"/>
    <w:rsid w:val="008867EF"/>
    <w:rsid w:val="008870DF"/>
    <w:rsid w:val="008876E0"/>
    <w:rsid w:val="00887E39"/>
    <w:rsid w:val="00890021"/>
    <w:rsid w:val="00890620"/>
    <w:rsid w:val="0089090F"/>
    <w:rsid w:val="00890EC3"/>
    <w:rsid w:val="00891109"/>
    <w:rsid w:val="00891E40"/>
    <w:rsid w:val="008922A1"/>
    <w:rsid w:val="00892354"/>
    <w:rsid w:val="00892432"/>
    <w:rsid w:val="00892464"/>
    <w:rsid w:val="00893505"/>
    <w:rsid w:val="00893566"/>
    <w:rsid w:val="00893F42"/>
    <w:rsid w:val="00894001"/>
    <w:rsid w:val="008941E6"/>
    <w:rsid w:val="008945BB"/>
    <w:rsid w:val="0089463E"/>
    <w:rsid w:val="00895164"/>
    <w:rsid w:val="00896284"/>
    <w:rsid w:val="008964A8"/>
    <w:rsid w:val="0089693C"/>
    <w:rsid w:val="00896B90"/>
    <w:rsid w:val="00897593"/>
    <w:rsid w:val="0089779D"/>
    <w:rsid w:val="00897930"/>
    <w:rsid w:val="00897E35"/>
    <w:rsid w:val="00897E58"/>
    <w:rsid w:val="008A0753"/>
    <w:rsid w:val="008A14E5"/>
    <w:rsid w:val="008A22BF"/>
    <w:rsid w:val="008A2F41"/>
    <w:rsid w:val="008A2FD6"/>
    <w:rsid w:val="008A3229"/>
    <w:rsid w:val="008A33AF"/>
    <w:rsid w:val="008A3CCD"/>
    <w:rsid w:val="008A4193"/>
    <w:rsid w:val="008A460A"/>
    <w:rsid w:val="008A5E69"/>
    <w:rsid w:val="008A6672"/>
    <w:rsid w:val="008B002F"/>
    <w:rsid w:val="008B06D2"/>
    <w:rsid w:val="008B16DA"/>
    <w:rsid w:val="008B2549"/>
    <w:rsid w:val="008B2DE0"/>
    <w:rsid w:val="008B2EAE"/>
    <w:rsid w:val="008B3542"/>
    <w:rsid w:val="008B3F4D"/>
    <w:rsid w:val="008B42BA"/>
    <w:rsid w:val="008B46EB"/>
    <w:rsid w:val="008B4EF8"/>
    <w:rsid w:val="008B4F63"/>
    <w:rsid w:val="008B52C7"/>
    <w:rsid w:val="008B674C"/>
    <w:rsid w:val="008B699D"/>
    <w:rsid w:val="008B7247"/>
    <w:rsid w:val="008B7A2D"/>
    <w:rsid w:val="008C03FE"/>
    <w:rsid w:val="008C0FCE"/>
    <w:rsid w:val="008C14A0"/>
    <w:rsid w:val="008C1D27"/>
    <w:rsid w:val="008C2027"/>
    <w:rsid w:val="008C234D"/>
    <w:rsid w:val="008C2D72"/>
    <w:rsid w:val="008C35CD"/>
    <w:rsid w:val="008C3718"/>
    <w:rsid w:val="008C4049"/>
    <w:rsid w:val="008C4507"/>
    <w:rsid w:val="008C4907"/>
    <w:rsid w:val="008C4998"/>
    <w:rsid w:val="008C5356"/>
    <w:rsid w:val="008C5414"/>
    <w:rsid w:val="008C54DF"/>
    <w:rsid w:val="008C630C"/>
    <w:rsid w:val="008C675C"/>
    <w:rsid w:val="008C6A39"/>
    <w:rsid w:val="008C6A85"/>
    <w:rsid w:val="008C6F42"/>
    <w:rsid w:val="008C6F74"/>
    <w:rsid w:val="008C71B4"/>
    <w:rsid w:val="008C7853"/>
    <w:rsid w:val="008C7862"/>
    <w:rsid w:val="008C7B55"/>
    <w:rsid w:val="008D034B"/>
    <w:rsid w:val="008D0556"/>
    <w:rsid w:val="008D0CAD"/>
    <w:rsid w:val="008D1A57"/>
    <w:rsid w:val="008D2016"/>
    <w:rsid w:val="008D27A5"/>
    <w:rsid w:val="008D29F8"/>
    <w:rsid w:val="008D2CFE"/>
    <w:rsid w:val="008D36FD"/>
    <w:rsid w:val="008D3CFD"/>
    <w:rsid w:val="008D3D14"/>
    <w:rsid w:val="008D3E49"/>
    <w:rsid w:val="008D40A3"/>
    <w:rsid w:val="008D4BD9"/>
    <w:rsid w:val="008D5539"/>
    <w:rsid w:val="008D5744"/>
    <w:rsid w:val="008D588F"/>
    <w:rsid w:val="008D6056"/>
    <w:rsid w:val="008D671D"/>
    <w:rsid w:val="008D7054"/>
    <w:rsid w:val="008D73FC"/>
    <w:rsid w:val="008D76F7"/>
    <w:rsid w:val="008D7BA4"/>
    <w:rsid w:val="008E0072"/>
    <w:rsid w:val="008E125E"/>
    <w:rsid w:val="008E12C2"/>
    <w:rsid w:val="008E130D"/>
    <w:rsid w:val="008E146F"/>
    <w:rsid w:val="008E152E"/>
    <w:rsid w:val="008E1BE2"/>
    <w:rsid w:val="008E220C"/>
    <w:rsid w:val="008E236D"/>
    <w:rsid w:val="008E2592"/>
    <w:rsid w:val="008E38C5"/>
    <w:rsid w:val="008E3DF6"/>
    <w:rsid w:val="008E3FC3"/>
    <w:rsid w:val="008E4672"/>
    <w:rsid w:val="008E483F"/>
    <w:rsid w:val="008E4B38"/>
    <w:rsid w:val="008E4B75"/>
    <w:rsid w:val="008E4B76"/>
    <w:rsid w:val="008E5081"/>
    <w:rsid w:val="008E522B"/>
    <w:rsid w:val="008E5765"/>
    <w:rsid w:val="008E6320"/>
    <w:rsid w:val="008E655A"/>
    <w:rsid w:val="008E6805"/>
    <w:rsid w:val="008E6922"/>
    <w:rsid w:val="008E6D81"/>
    <w:rsid w:val="008E7694"/>
    <w:rsid w:val="008F01FB"/>
    <w:rsid w:val="008F0AFF"/>
    <w:rsid w:val="008F0EA3"/>
    <w:rsid w:val="008F1267"/>
    <w:rsid w:val="008F17C1"/>
    <w:rsid w:val="008F1C5E"/>
    <w:rsid w:val="008F1E8A"/>
    <w:rsid w:val="008F2180"/>
    <w:rsid w:val="008F24C6"/>
    <w:rsid w:val="008F2778"/>
    <w:rsid w:val="008F279D"/>
    <w:rsid w:val="008F2F41"/>
    <w:rsid w:val="008F3232"/>
    <w:rsid w:val="008F342E"/>
    <w:rsid w:val="008F3561"/>
    <w:rsid w:val="008F3684"/>
    <w:rsid w:val="008F396B"/>
    <w:rsid w:val="008F3C7D"/>
    <w:rsid w:val="008F3D19"/>
    <w:rsid w:val="008F3E57"/>
    <w:rsid w:val="008F4064"/>
    <w:rsid w:val="008F4771"/>
    <w:rsid w:val="008F493E"/>
    <w:rsid w:val="008F4BD2"/>
    <w:rsid w:val="008F4CAE"/>
    <w:rsid w:val="008F553A"/>
    <w:rsid w:val="008F5909"/>
    <w:rsid w:val="008F59BB"/>
    <w:rsid w:val="008F59CE"/>
    <w:rsid w:val="008F6779"/>
    <w:rsid w:val="008F6A04"/>
    <w:rsid w:val="008F762E"/>
    <w:rsid w:val="008F763C"/>
    <w:rsid w:val="008F7665"/>
    <w:rsid w:val="008F7C8B"/>
    <w:rsid w:val="008F7D44"/>
    <w:rsid w:val="00900256"/>
    <w:rsid w:val="00900351"/>
    <w:rsid w:val="00900FA5"/>
    <w:rsid w:val="009015A4"/>
    <w:rsid w:val="00901E90"/>
    <w:rsid w:val="0090274B"/>
    <w:rsid w:val="009029B3"/>
    <w:rsid w:val="00902A40"/>
    <w:rsid w:val="00902BE4"/>
    <w:rsid w:val="00902C9B"/>
    <w:rsid w:val="00902D33"/>
    <w:rsid w:val="00902E3B"/>
    <w:rsid w:val="00903637"/>
    <w:rsid w:val="00903F62"/>
    <w:rsid w:val="00903F97"/>
    <w:rsid w:val="00903FB1"/>
    <w:rsid w:val="00903FF0"/>
    <w:rsid w:val="009045E5"/>
    <w:rsid w:val="009048B1"/>
    <w:rsid w:val="00904DA3"/>
    <w:rsid w:val="0090500B"/>
    <w:rsid w:val="00905437"/>
    <w:rsid w:val="0090584B"/>
    <w:rsid w:val="0090595D"/>
    <w:rsid w:val="00906735"/>
    <w:rsid w:val="009067F9"/>
    <w:rsid w:val="009073C8"/>
    <w:rsid w:val="00907C36"/>
    <w:rsid w:val="00910542"/>
    <w:rsid w:val="00910687"/>
    <w:rsid w:val="00910981"/>
    <w:rsid w:val="00910AD8"/>
    <w:rsid w:val="00912414"/>
    <w:rsid w:val="00912847"/>
    <w:rsid w:val="00912897"/>
    <w:rsid w:val="00913049"/>
    <w:rsid w:val="009135AD"/>
    <w:rsid w:val="00913E0B"/>
    <w:rsid w:val="00913EF8"/>
    <w:rsid w:val="00914175"/>
    <w:rsid w:val="009145EA"/>
    <w:rsid w:val="00914A21"/>
    <w:rsid w:val="00914BE9"/>
    <w:rsid w:val="00914CDC"/>
    <w:rsid w:val="00915073"/>
    <w:rsid w:val="009152A9"/>
    <w:rsid w:val="00915617"/>
    <w:rsid w:val="0091603F"/>
    <w:rsid w:val="0091631D"/>
    <w:rsid w:val="00916699"/>
    <w:rsid w:val="009171E2"/>
    <w:rsid w:val="009177B0"/>
    <w:rsid w:val="009202C5"/>
    <w:rsid w:val="00920687"/>
    <w:rsid w:val="0092181B"/>
    <w:rsid w:val="0092194D"/>
    <w:rsid w:val="009225B7"/>
    <w:rsid w:val="00922F83"/>
    <w:rsid w:val="0092303F"/>
    <w:rsid w:val="00923906"/>
    <w:rsid w:val="00923C31"/>
    <w:rsid w:val="00923C4B"/>
    <w:rsid w:val="0092426A"/>
    <w:rsid w:val="00924D41"/>
    <w:rsid w:val="009252AE"/>
    <w:rsid w:val="00925424"/>
    <w:rsid w:val="00926EF9"/>
    <w:rsid w:val="0092775C"/>
    <w:rsid w:val="00927ADE"/>
    <w:rsid w:val="0093019F"/>
    <w:rsid w:val="0093057F"/>
    <w:rsid w:val="00930C98"/>
    <w:rsid w:val="00930E0D"/>
    <w:rsid w:val="0093258E"/>
    <w:rsid w:val="009329C4"/>
    <w:rsid w:val="00933248"/>
    <w:rsid w:val="00933294"/>
    <w:rsid w:val="00933543"/>
    <w:rsid w:val="00933C55"/>
    <w:rsid w:val="00933E04"/>
    <w:rsid w:val="00934061"/>
    <w:rsid w:val="009349A3"/>
    <w:rsid w:val="00934CB7"/>
    <w:rsid w:val="00935069"/>
    <w:rsid w:val="00935125"/>
    <w:rsid w:val="00936099"/>
    <w:rsid w:val="009368A8"/>
    <w:rsid w:val="009369BA"/>
    <w:rsid w:val="00936CDE"/>
    <w:rsid w:val="00937036"/>
    <w:rsid w:val="009370D6"/>
    <w:rsid w:val="00937954"/>
    <w:rsid w:val="009403DD"/>
    <w:rsid w:val="00940A28"/>
    <w:rsid w:val="00940C94"/>
    <w:rsid w:val="009410B5"/>
    <w:rsid w:val="0094137C"/>
    <w:rsid w:val="00941B70"/>
    <w:rsid w:val="00942512"/>
    <w:rsid w:val="00942714"/>
    <w:rsid w:val="00942760"/>
    <w:rsid w:val="009429B2"/>
    <w:rsid w:val="00942A58"/>
    <w:rsid w:val="00942C32"/>
    <w:rsid w:val="00942FAB"/>
    <w:rsid w:val="00943167"/>
    <w:rsid w:val="00943A24"/>
    <w:rsid w:val="00943CD5"/>
    <w:rsid w:val="00943E70"/>
    <w:rsid w:val="0094463F"/>
    <w:rsid w:val="009457F2"/>
    <w:rsid w:val="00945B6E"/>
    <w:rsid w:val="00945B9D"/>
    <w:rsid w:val="0094641F"/>
    <w:rsid w:val="00946936"/>
    <w:rsid w:val="00947489"/>
    <w:rsid w:val="00947496"/>
    <w:rsid w:val="0094772A"/>
    <w:rsid w:val="009502CD"/>
    <w:rsid w:val="0095055B"/>
    <w:rsid w:val="00950B0E"/>
    <w:rsid w:val="00950BE6"/>
    <w:rsid w:val="00951B81"/>
    <w:rsid w:val="009527C6"/>
    <w:rsid w:val="00953D9F"/>
    <w:rsid w:val="00954305"/>
    <w:rsid w:val="00954326"/>
    <w:rsid w:val="00954778"/>
    <w:rsid w:val="009547FD"/>
    <w:rsid w:val="009555CF"/>
    <w:rsid w:val="00955D1B"/>
    <w:rsid w:val="00955D3F"/>
    <w:rsid w:val="00957CBF"/>
    <w:rsid w:val="009601B1"/>
    <w:rsid w:val="009608C6"/>
    <w:rsid w:val="00960AB1"/>
    <w:rsid w:val="00960AF2"/>
    <w:rsid w:val="009610AE"/>
    <w:rsid w:val="00961694"/>
    <w:rsid w:val="00961E22"/>
    <w:rsid w:val="00962897"/>
    <w:rsid w:val="00963074"/>
    <w:rsid w:val="0096366E"/>
    <w:rsid w:val="00963FDC"/>
    <w:rsid w:val="00964177"/>
    <w:rsid w:val="00964316"/>
    <w:rsid w:val="009647A9"/>
    <w:rsid w:val="009648D6"/>
    <w:rsid w:val="009650E2"/>
    <w:rsid w:val="00965270"/>
    <w:rsid w:val="0096579C"/>
    <w:rsid w:val="009657EB"/>
    <w:rsid w:val="009659F0"/>
    <w:rsid w:val="0096626E"/>
    <w:rsid w:val="00966DFA"/>
    <w:rsid w:val="00967059"/>
    <w:rsid w:val="00967223"/>
    <w:rsid w:val="009674A0"/>
    <w:rsid w:val="00967DE5"/>
    <w:rsid w:val="009702EA"/>
    <w:rsid w:val="00970D68"/>
    <w:rsid w:val="00970E2E"/>
    <w:rsid w:val="00971FD1"/>
    <w:rsid w:val="00972323"/>
    <w:rsid w:val="00972990"/>
    <w:rsid w:val="00972ABB"/>
    <w:rsid w:val="00972C33"/>
    <w:rsid w:val="00972C82"/>
    <w:rsid w:val="0097313B"/>
    <w:rsid w:val="009749D6"/>
    <w:rsid w:val="00974A89"/>
    <w:rsid w:val="009755BE"/>
    <w:rsid w:val="00975C17"/>
    <w:rsid w:val="00975FCC"/>
    <w:rsid w:val="009766B9"/>
    <w:rsid w:val="00976B25"/>
    <w:rsid w:val="00977AA0"/>
    <w:rsid w:val="00977D49"/>
    <w:rsid w:val="009805C4"/>
    <w:rsid w:val="00980E2C"/>
    <w:rsid w:val="00981508"/>
    <w:rsid w:val="009817B7"/>
    <w:rsid w:val="009817FB"/>
    <w:rsid w:val="00981FFF"/>
    <w:rsid w:val="0098239A"/>
    <w:rsid w:val="00982A50"/>
    <w:rsid w:val="00984250"/>
    <w:rsid w:val="00984B30"/>
    <w:rsid w:val="009852AC"/>
    <w:rsid w:val="009857AC"/>
    <w:rsid w:val="00985A7F"/>
    <w:rsid w:val="00986276"/>
    <w:rsid w:val="00986D07"/>
    <w:rsid w:val="009871DE"/>
    <w:rsid w:val="00987759"/>
    <w:rsid w:val="00987B98"/>
    <w:rsid w:val="009903B0"/>
    <w:rsid w:val="00990CF9"/>
    <w:rsid w:val="0099152B"/>
    <w:rsid w:val="0099217F"/>
    <w:rsid w:val="009921EF"/>
    <w:rsid w:val="00992326"/>
    <w:rsid w:val="00992BA4"/>
    <w:rsid w:val="0099332F"/>
    <w:rsid w:val="0099446A"/>
    <w:rsid w:val="00994AE8"/>
    <w:rsid w:val="0099534A"/>
    <w:rsid w:val="0099586B"/>
    <w:rsid w:val="0099594D"/>
    <w:rsid w:val="00996809"/>
    <w:rsid w:val="00996D94"/>
    <w:rsid w:val="00996E5B"/>
    <w:rsid w:val="0099708C"/>
    <w:rsid w:val="00997583"/>
    <w:rsid w:val="009A0322"/>
    <w:rsid w:val="009A03DD"/>
    <w:rsid w:val="009A07DE"/>
    <w:rsid w:val="009A139F"/>
    <w:rsid w:val="009A1BAA"/>
    <w:rsid w:val="009A20C6"/>
    <w:rsid w:val="009A228E"/>
    <w:rsid w:val="009A22A9"/>
    <w:rsid w:val="009A38FC"/>
    <w:rsid w:val="009A39C4"/>
    <w:rsid w:val="009A3EA2"/>
    <w:rsid w:val="009A4910"/>
    <w:rsid w:val="009A4B9F"/>
    <w:rsid w:val="009A4ED0"/>
    <w:rsid w:val="009A4EE5"/>
    <w:rsid w:val="009A5234"/>
    <w:rsid w:val="009A52F9"/>
    <w:rsid w:val="009A5D4A"/>
    <w:rsid w:val="009A5E08"/>
    <w:rsid w:val="009A65FB"/>
    <w:rsid w:val="009A6AFA"/>
    <w:rsid w:val="009A734A"/>
    <w:rsid w:val="009A741E"/>
    <w:rsid w:val="009A7624"/>
    <w:rsid w:val="009A7EAC"/>
    <w:rsid w:val="009B0099"/>
    <w:rsid w:val="009B03B2"/>
    <w:rsid w:val="009B05DD"/>
    <w:rsid w:val="009B12D2"/>
    <w:rsid w:val="009B152B"/>
    <w:rsid w:val="009B1B3F"/>
    <w:rsid w:val="009B2AC7"/>
    <w:rsid w:val="009B3182"/>
    <w:rsid w:val="009B4258"/>
    <w:rsid w:val="009B53D7"/>
    <w:rsid w:val="009B5459"/>
    <w:rsid w:val="009B5863"/>
    <w:rsid w:val="009B7E64"/>
    <w:rsid w:val="009C0247"/>
    <w:rsid w:val="009C0C4E"/>
    <w:rsid w:val="009C1A1F"/>
    <w:rsid w:val="009C1B43"/>
    <w:rsid w:val="009C1FFD"/>
    <w:rsid w:val="009C2A09"/>
    <w:rsid w:val="009C2CD7"/>
    <w:rsid w:val="009C35D8"/>
    <w:rsid w:val="009C369E"/>
    <w:rsid w:val="009C3797"/>
    <w:rsid w:val="009C438F"/>
    <w:rsid w:val="009C4CA7"/>
    <w:rsid w:val="009C4DED"/>
    <w:rsid w:val="009C50DB"/>
    <w:rsid w:val="009C5719"/>
    <w:rsid w:val="009C5A32"/>
    <w:rsid w:val="009C6F96"/>
    <w:rsid w:val="009C7F89"/>
    <w:rsid w:val="009D012D"/>
    <w:rsid w:val="009D0508"/>
    <w:rsid w:val="009D072E"/>
    <w:rsid w:val="009D0E41"/>
    <w:rsid w:val="009D115C"/>
    <w:rsid w:val="009D1216"/>
    <w:rsid w:val="009D1485"/>
    <w:rsid w:val="009D1F87"/>
    <w:rsid w:val="009D22F1"/>
    <w:rsid w:val="009D2B75"/>
    <w:rsid w:val="009D2CE3"/>
    <w:rsid w:val="009D3268"/>
    <w:rsid w:val="009D39CA"/>
    <w:rsid w:val="009D4092"/>
    <w:rsid w:val="009D4F9C"/>
    <w:rsid w:val="009D51C1"/>
    <w:rsid w:val="009D56F6"/>
    <w:rsid w:val="009D5DAF"/>
    <w:rsid w:val="009D5EBC"/>
    <w:rsid w:val="009D6071"/>
    <w:rsid w:val="009D64F0"/>
    <w:rsid w:val="009D6860"/>
    <w:rsid w:val="009D748E"/>
    <w:rsid w:val="009D7732"/>
    <w:rsid w:val="009D7CE2"/>
    <w:rsid w:val="009E0774"/>
    <w:rsid w:val="009E1053"/>
    <w:rsid w:val="009E2D80"/>
    <w:rsid w:val="009E31DD"/>
    <w:rsid w:val="009E31FB"/>
    <w:rsid w:val="009E3527"/>
    <w:rsid w:val="009E3D2F"/>
    <w:rsid w:val="009E485F"/>
    <w:rsid w:val="009E5006"/>
    <w:rsid w:val="009E5675"/>
    <w:rsid w:val="009E6434"/>
    <w:rsid w:val="009E6776"/>
    <w:rsid w:val="009E692A"/>
    <w:rsid w:val="009E7671"/>
    <w:rsid w:val="009E7795"/>
    <w:rsid w:val="009E7C32"/>
    <w:rsid w:val="009F0A80"/>
    <w:rsid w:val="009F0F17"/>
    <w:rsid w:val="009F1957"/>
    <w:rsid w:val="009F21B6"/>
    <w:rsid w:val="009F2F66"/>
    <w:rsid w:val="009F306D"/>
    <w:rsid w:val="009F3102"/>
    <w:rsid w:val="009F3C93"/>
    <w:rsid w:val="009F3D2D"/>
    <w:rsid w:val="009F4D6B"/>
    <w:rsid w:val="009F4DAF"/>
    <w:rsid w:val="009F50FD"/>
    <w:rsid w:val="009F542F"/>
    <w:rsid w:val="009F566F"/>
    <w:rsid w:val="009F6B3D"/>
    <w:rsid w:val="009F6D94"/>
    <w:rsid w:val="009F7069"/>
    <w:rsid w:val="009F7170"/>
    <w:rsid w:val="009F7D13"/>
    <w:rsid w:val="00A00BE9"/>
    <w:rsid w:val="00A01092"/>
    <w:rsid w:val="00A01524"/>
    <w:rsid w:val="00A020D8"/>
    <w:rsid w:val="00A02303"/>
    <w:rsid w:val="00A02387"/>
    <w:rsid w:val="00A02C85"/>
    <w:rsid w:val="00A02E09"/>
    <w:rsid w:val="00A02F3F"/>
    <w:rsid w:val="00A033A2"/>
    <w:rsid w:val="00A033EC"/>
    <w:rsid w:val="00A039B3"/>
    <w:rsid w:val="00A041CE"/>
    <w:rsid w:val="00A050EE"/>
    <w:rsid w:val="00A05BB7"/>
    <w:rsid w:val="00A05F8C"/>
    <w:rsid w:val="00A061DE"/>
    <w:rsid w:val="00A069B9"/>
    <w:rsid w:val="00A06C24"/>
    <w:rsid w:val="00A06CEC"/>
    <w:rsid w:val="00A06EBB"/>
    <w:rsid w:val="00A077DF"/>
    <w:rsid w:val="00A10074"/>
    <w:rsid w:val="00A1020D"/>
    <w:rsid w:val="00A1030C"/>
    <w:rsid w:val="00A10BF9"/>
    <w:rsid w:val="00A110EA"/>
    <w:rsid w:val="00A1141A"/>
    <w:rsid w:val="00A1165E"/>
    <w:rsid w:val="00A11B0C"/>
    <w:rsid w:val="00A11B25"/>
    <w:rsid w:val="00A11EBC"/>
    <w:rsid w:val="00A12025"/>
    <w:rsid w:val="00A1274E"/>
    <w:rsid w:val="00A12A2D"/>
    <w:rsid w:val="00A12EB7"/>
    <w:rsid w:val="00A130EB"/>
    <w:rsid w:val="00A139DE"/>
    <w:rsid w:val="00A140A1"/>
    <w:rsid w:val="00A144AB"/>
    <w:rsid w:val="00A14AC5"/>
    <w:rsid w:val="00A14BB6"/>
    <w:rsid w:val="00A14E0C"/>
    <w:rsid w:val="00A153AB"/>
    <w:rsid w:val="00A15600"/>
    <w:rsid w:val="00A1588C"/>
    <w:rsid w:val="00A15BFE"/>
    <w:rsid w:val="00A15FF2"/>
    <w:rsid w:val="00A1671D"/>
    <w:rsid w:val="00A16A51"/>
    <w:rsid w:val="00A17C4D"/>
    <w:rsid w:val="00A20181"/>
    <w:rsid w:val="00A20930"/>
    <w:rsid w:val="00A20B86"/>
    <w:rsid w:val="00A21B33"/>
    <w:rsid w:val="00A2234D"/>
    <w:rsid w:val="00A22611"/>
    <w:rsid w:val="00A22ADE"/>
    <w:rsid w:val="00A2374E"/>
    <w:rsid w:val="00A24232"/>
    <w:rsid w:val="00A24731"/>
    <w:rsid w:val="00A24741"/>
    <w:rsid w:val="00A24775"/>
    <w:rsid w:val="00A249FF"/>
    <w:rsid w:val="00A24D69"/>
    <w:rsid w:val="00A250D7"/>
    <w:rsid w:val="00A25143"/>
    <w:rsid w:val="00A258B9"/>
    <w:rsid w:val="00A258C2"/>
    <w:rsid w:val="00A2595D"/>
    <w:rsid w:val="00A269B1"/>
    <w:rsid w:val="00A26F9C"/>
    <w:rsid w:val="00A2710F"/>
    <w:rsid w:val="00A272D3"/>
    <w:rsid w:val="00A3016E"/>
    <w:rsid w:val="00A30D36"/>
    <w:rsid w:val="00A314BF"/>
    <w:rsid w:val="00A333BB"/>
    <w:rsid w:val="00A3394F"/>
    <w:rsid w:val="00A33BB4"/>
    <w:rsid w:val="00A3410F"/>
    <w:rsid w:val="00A350C2"/>
    <w:rsid w:val="00A355EE"/>
    <w:rsid w:val="00A35E58"/>
    <w:rsid w:val="00A35F72"/>
    <w:rsid w:val="00A3635F"/>
    <w:rsid w:val="00A374F5"/>
    <w:rsid w:val="00A40993"/>
    <w:rsid w:val="00A40E8A"/>
    <w:rsid w:val="00A41530"/>
    <w:rsid w:val="00A4176C"/>
    <w:rsid w:val="00A42102"/>
    <w:rsid w:val="00A43351"/>
    <w:rsid w:val="00A43576"/>
    <w:rsid w:val="00A43624"/>
    <w:rsid w:val="00A438E9"/>
    <w:rsid w:val="00A43937"/>
    <w:rsid w:val="00A43D55"/>
    <w:rsid w:val="00A43ECA"/>
    <w:rsid w:val="00A4436C"/>
    <w:rsid w:val="00A443B1"/>
    <w:rsid w:val="00A446F7"/>
    <w:rsid w:val="00A44971"/>
    <w:rsid w:val="00A44C54"/>
    <w:rsid w:val="00A45A16"/>
    <w:rsid w:val="00A45E80"/>
    <w:rsid w:val="00A46364"/>
    <w:rsid w:val="00A4643B"/>
    <w:rsid w:val="00A47428"/>
    <w:rsid w:val="00A47CEA"/>
    <w:rsid w:val="00A50C31"/>
    <w:rsid w:val="00A5132F"/>
    <w:rsid w:val="00A51393"/>
    <w:rsid w:val="00A51959"/>
    <w:rsid w:val="00A51B09"/>
    <w:rsid w:val="00A5202E"/>
    <w:rsid w:val="00A5216C"/>
    <w:rsid w:val="00A521E8"/>
    <w:rsid w:val="00A53AB4"/>
    <w:rsid w:val="00A541D6"/>
    <w:rsid w:val="00A5426E"/>
    <w:rsid w:val="00A546EA"/>
    <w:rsid w:val="00A54856"/>
    <w:rsid w:val="00A55017"/>
    <w:rsid w:val="00A553C7"/>
    <w:rsid w:val="00A5657A"/>
    <w:rsid w:val="00A566DF"/>
    <w:rsid w:val="00A56BC6"/>
    <w:rsid w:val="00A573FC"/>
    <w:rsid w:val="00A576A6"/>
    <w:rsid w:val="00A57AB7"/>
    <w:rsid w:val="00A6017D"/>
    <w:rsid w:val="00A617DE"/>
    <w:rsid w:val="00A61AB5"/>
    <w:rsid w:val="00A61BD8"/>
    <w:rsid w:val="00A622E8"/>
    <w:rsid w:val="00A630BB"/>
    <w:rsid w:val="00A63298"/>
    <w:rsid w:val="00A634E5"/>
    <w:rsid w:val="00A638CD"/>
    <w:rsid w:val="00A64D4A"/>
    <w:rsid w:val="00A64DB2"/>
    <w:rsid w:val="00A654D4"/>
    <w:rsid w:val="00A65985"/>
    <w:rsid w:val="00A660FD"/>
    <w:rsid w:val="00A664F1"/>
    <w:rsid w:val="00A668B7"/>
    <w:rsid w:val="00A66977"/>
    <w:rsid w:val="00A66CA1"/>
    <w:rsid w:val="00A66F2E"/>
    <w:rsid w:val="00A66F4F"/>
    <w:rsid w:val="00A67033"/>
    <w:rsid w:val="00A67317"/>
    <w:rsid w:val="00A674D2"/>
    <w:rsid w:val="00A67686"/>
    <w:rsid w:val="00A67793"/>
    <w:rsid w:val="00A677C1"/>
    <w:rsid w:val="00A67A83"/>
    <w:rsid w:val="00A67AE0"/>
    <w:rsid w:val="00A67C33"/>
    <w:rsid w:val="00A7070B"/>
    <w:rsid w:val="00A7122A"/>
    <w:rsid w:val="00A712E8"/>
    <w:rsid w:val="00A71965"/>
    <w:rsid w:val="00A72561"/>
    <w:rsid w:val="00A725C7"/>
    <w:rsid w:val="00A725E7"/>
    <w:rsid w:val="00A727E1"/>
    <w:rsid w:val="00A73614"/>
    <w:rsid w:val="00A73770"/>
    <w:rsid w:val="00A73A40"/>
    <w:rsid w:val="00A74F14"/>
    <w:rsid w:val="00A752EC"/>
    <w:rsid w:val="00A75E9E"/>
    <w:rsid w:val="00A7616A"/>
    <w:rsid w:val="00A7646A"/>
    <w:rsid w:val="00A7669C"/>
    <w:rsid w:val="00A7715E"/>
    <w:rsid w:val="00A778E7"/>
    <w:rsid w:val="00A80C27"/>
    <w:rsid w:val="00A811C3"/>
    <w:rsid w:val="00A812C9"/>
    <w:rsid w:val="00A8145B"/>
    <w:rsid w:val="00A81CEF"/>
    <w:rsid w:val="00A82373"/>
    <w:rsid w:val="00A829B3"/>
    <w:rsid w:val="00A82FAD"/>
    <w:rsid w:val="00A85516"/>
    <w:rsid w:val="00A86131"/>
    <w:rsid w:val="00A864AE"/>
    <w:rsid w:val="00A8651B"/>
    <w:rsid w:val="00A8690E"/>
    <w:rsid w:val="00A8691D"/>
    <w:rsid w:val="00A86934"/>
    <w:rsid w:val="00A86DBA"/>
    <w:rsid w:val="00A872C7"/>
    <w:rsid w:val="00A87DA8"/>
    <w:rsid w:val="00A90824"/>
    <w:rsid w:val="00A9193B"/>
    <w:rsid w:val="00A92103"/>
    <w:rsid w:val="00A924D1"/>
    <w:rsid w:val="00A94631"/>
    <w:rsid w:val="00A95033"/>
    <w:rsid w:val="00A95278"/>
    <w:rsid w:val="00A95883"/>
    <w:rsid w:val="00A95CB1"/>
    <w:rsid w:val="00A95EDC"/>
    <w:rsid w:val="00A964B8"/>
    <w:rsid w:val="00A96588"/>
    <w:rsid w:val="00A966F9"/>
    <w:rsid w:val="00A96EF6"/>
    <w:rsid w:val="00A97446"/>
    <w:rsid w:val="00A97730"/>
    <w:rsid w:val="00A97B1E"/>
    <w:rsid w:val="00AA037F"/>
    <w:rsid w:val="00AA051B"/>
    <w:rsid w:val="00AA075E"/>
    <w:rsid w:val="00AA1B1E"/>
    <w:rsid w:val="00AA251D"/>
    <w:rsid w:val="00AA25FB"/>
    <w:rsid w:val="00AA309D"/>
    <w:rsid w:val="00AA4E31"/>
    <w:rsid w:val="00AA5117"/>
    <w:rsid w:val="00AA513C"/>
    <w:rsid w:val="00AA536B"/>
    <w:rsid w:val="00AA5DE7"/>
    <w:rsid w:val="00AA5FE2"/>
    <w:rsid w:val="00AA79E3"/>
    <w:rsid w:val="00AB02F9"/>
    <w:rsid w:val="00AB07C9"/>
    <w:rsid w:val="00AB0854"/>
    <w:rsid w:val="00AB0D60"/>
    <w:rsid w:val="00AB14FD"/>
    <w:rsid w:val="00AB234C"/>
    <w:rsid w:val="00AB25E6"/>
    <w:rsid w:val="00AB26EE"/>
    <w:rsid w:val="00AB2B22"/>
    <w:rsid w:val="00AB32C8"/>
    <w:rsid w:val="00AB37BA"/>
    <w:rsid w:val="00AB390D"/>
    <w:rsid w:val="00AB3E91"/>
    <w:rsid w:val="00AB459D"/>
    <w:rsid w:val="00AB50EB"/>
    <w:rsid w:val="00AB573F"/>
    <w:rsid w:val="00AB595F"/>
    <w:rsid w:val="00AB5F56"/>
    <w:rsid w:val="00AB764C"/>
    <w:rsid w:val="00AC0C9E"/>
    <w:rsid w:val="00AC1098"/>
    <w:rsid w:val="00AC1166"/>
    <w:rsid w:val="00AC1253"/>
    <w:rsid w:val="00AC1423"/>
    <w:rsid w:val="00AC175F"/>
    <w:rsid w:val="00AC1F1D"/>
    <w:rsid w:val="00AC23E2"/>
    <w:rsid w:val="00AC25B8"/>
    <w:rsid w:val="00AC2F19"/>
    <w:rsid w:val="00AC318F"/>
    <w:rsid w:val="00AC325E"/>
    <w:rsid w:val="00AC376C"/>
    <w:rsid w:val="00AC38D4"/>
    <w:rsid w:val="00AC452B"/>
    <w:rsid w:val="00AC5358"/>
    <w:rsid w:val="00AC59EF"/>
    <w:rsid w:val="00AC5CFC"/>
    <w:rsid w:val="00AC66EE"/>
    <w:rsid w:val="00AC6AC9"/>
    <w:rsid w:val="00AC7232"/>
    <w:rsid w:val="00AC7412"/>
    <w:rsid w:val="00AC7935"/>
    <w:rsid w:val="00AD06F3"/>
    <w:rsid w:val="00AD09D0"/>
    <w:rsid w:val="00AD0A90"/>
    <w:rsid w:val="00AD0CE4"/>
    <w:rsid w:val="00AD11FE"/>
    <w:rsid w:val="00AD16E8"/>
    <w:rsid w:val="00AD19CD"/>
    <w:rsid w:val="00AD499F"/>
    <w:rsid w:val="00AD5167"/>
    <w:rsid w:val="00AD56F0"/>
    <w:rsid w:val="00AD5FE7"/>
    <w:rsid w:val="00AD6286"/>
    <w:rsid w:val="00AD62A0"/>
    <w:rsid w:val="00AD6A54"/>
    <w:rsid w:val="00AD769F"/>
    <w:rsid w:val="00AD7753"/>
    <w:rsid w:val="00AD7C61"/>
    <w:rsid w:val="00AD7F0A"/>
    <w:rsid w:val="00AE0024"/>
    <w:rsid w:val="00AE002F"/>
    <w:rsid w:val="00AE06EB"/>
    <w:rsid w:val="00AE08D6"/>
    <w:rsid w:val="00AE109D"/>
    <w:rsid w:val="00AE1752"/>
    <w:rsid w:val="00AE1C12"/>
    <w:rsid w:val="00AE1D49"/>
    <w:rsid w:val="00AE1DB0"/>
    <w:rsid w:val="00AE1E48"/>
    <w:rsid w:val="00AE24C1"/>
    <w:rsid w:val="00AE2509"/>
    <w:rsid w:val="00AE2581"/>
    <w:rsid w:val="00AE2B56"/>
    <w:rsid w:val="00AE3723"/>
    <w:rsid w:val="00AE3957"/>
    <w:rsid w:val="00AE4B1E"/>
    <w:rsid w:val="00AE55A5"/>
    <w:rsid w:val="00AE5C0D"/>
    <w:rsid w:val="00AE6B8F"/>
    <w:rsid w:val="00AF0BFA"/>
    <w:rsid w:val="00AF0D06"/>
    <w:rsid w:val="00AF11CC"/>
    <w:rsid w:val="00AF12FC"/>
    <w:rsid w:val="00AF1394"/>
    <w:rsid w:val="00AF1627"/>
    <w:rsid w:val="00AF19F1"/>
    <w:rsid w:val="00AF1D16"/>
    <w:rsid w:val="00AF219E"/>
    <w:rsid w:val="00AF22C6"/>
    <w:rsid w:val="00AF29A2"/>
    <w:rsid w:val="00AF2C02"/>
    <w:rsid w:val="00AF2DD8"/>
    <w:rsid w:val="00AF313E"/>
    <w:rsid w:val="00AF32DF"/>
    <w:rsid w:val="00AF32FB"/>
    <w:rsid w:val="00AF3C3D"/>
    <w:rsid w:val="00AF3D32"/>
    <w:rsid w:val="00AF3DAF"/>
    <w:rsid w:val="00AF4DCA"/>
    <w:rsid w:val="00AF4F6C"/>
    <w:rsid w:val="00AF51CC"/>
    <w:rsid w:val="00AF5509"/>
    <w:rsid w:val="00AF5867"/>
    <w:rsid w:val="00AF5A2E"/>
    <w:rsid w:val="00AF5C27"/>
    <w:rsid w:val="00AF6348"/>
    <w:rsid w:val="00AF646A"/>
    <w:rsid w:val="00AF68D8"/>
    <w:rsid w:val="00AF69BA"/>
    <w:rsid w:val="00AF7344"/>
    <w:rsid w:val="00AF7EFD"/>
    <w:rsid w:val="00B0016B"/>
    <w:rsid w:val="00B00182"/>
    <w:rsid w:val="00B007D5"/>
    <w:rsid w:val="00B01C9C"/>
    <w:rsid w:val="00B01F3F"/>
    <w:rsid w:val="00B023CE"/>
    <w:rsid w:val="00B025AB"/>
    <w:rsid w:val="00B02F00"/>
    <w:rsid w:val="00B0319F"/>
    <w:rsid w:val="00B03469"/>
    <w:rsid w:val="00B04A53"/>
    <w:rsid w:val="00B04DAB"/>
    <w:rsid w:val="00B04E8F"/>
    <w:rsid w:val="00B0663A"/>
    <w:rsid w:val="00B06F57"/>
    <w:rsid w:val="00B073CB"/>
    <w:rsid w:val="00B07ACC"/>
    <w:rsid w:val="00B07EA2"/>
    <w:rsid w:val="00B102F4"/>
    <w:rsid w:val="00B10335"/>
    <w:rsid w:val="00B10380"/>
    <w:rsid w:val="00B10DEE"/>
    <w:rsid w:val="00B1174F"/>
    <w:rsid w:val="00B122AA"/>
    <w:rsid w:val="00B127E3"/>
    <w:rsid w:val="00B12E09"/>
    <w:rsid w:val="00B13182"/>
    <w:rsid w:val="00B131CC"/>
    <w:rsid w:val="00B137D0"/>
    <w:rsid w:val="00B137EF"/>
    <w:rsid w:val="00B14A56"/>
    <w:rsid w:val="00B14AF9"/>
    <w:rsid w:val="00B14BF8"/>
    <w:rsid w:val="00B14E91"/>
    <w:rsid w:val="00B1522F"/>
    <w:rsid w:val="00B152B8"/>
    <w:rsid w:val="00B15758"/>
    <w:rsid w:val="00B159B1"/>
    <w:rsid w:val="00B15AAC"/>
    <w:rsid w:val="00B16528"/>
    <w:rsid w:val="00B16BE1"/>
    <w:rsid w:val="00B17327"/>
    <w:rsid w:val="00B17C45"/>
    <w:rsid w:val="00B20513"/>
    <w:rsid w:val="00B20B1B"/>
    <w:rsid w:val="00B21685"/>
    <w:rsid w:val="00B220FE"/>
    <w:rsid w:val="00B223F0"/>
    <w:rsid w:val="00B226C2"/>
    <w:rsid w:val="00B22708"/>
    <w:rsid w:val="00B22E57"/>
    <w:rsid w:val="00B22F72"/>
    <w:rsid w:val="00B23818"/>
    <w:rsid w:val="00B23A0C"/>
    <w:rsid w:val="00B23AC1"/>
    <w:rsid w:val="00B23F0A"/>
    <w:rsid w:val="00B24B17"/>
    <w:rsid w:val="00B24DB2"/>
    <w:rsid w:val="00B24E2B"/>
    <w:rsid w:val="00B25588"/>
    <w:rsid w:val="00B25F22"/>
    <w:rsid w:val="00B2623B"/>
    <w:rsid w:val="00B26336"/>
    <w:rsid w:val="00B26A73"/>
    <w:rsid w:val="00B27462"/>
    <w:rsid w:val="00B276DE"/>
    <w:rsid w:val="00B27A9F"/>
    <w:rsid w:val="00B30478"/>
    <w:rsid w:val="00B3109A"/>
    <w:rsid w:val="00B311EF"/>
    <w:rsid w:val="00B319D0"/>
    <w:rsid w:val="00B3261F"/>
    <w:rsid w:val="00B332D7"/>
    <w:rsid w:val="00B34173"/>
    <w:rsid w:val="00B352AD"/>
    <w:rsid w:val="00B35575"/>
    <w:rsid w:val="00B35888"/>
    <w:rsid w:val="00B35A5F"/>
    <w:rsid w:val="00B35AAC"/>
    <w:rsid w:val="00B361DC"/>
    <w:rsid w:val="00B362AB"/>
    <w:rsid w:val="00B362C0"/>
    <w:rsid w:val="00B36CC2"/>
    <w:rsid w:val="00B36F89"/>
    <w:rsid w:val="00B37A0C"/>
    <w:rsid w:val="00B4087E"/>
    <w:rsid w:val="00B409B5"/>
    <w:rsid w:val="00B4115B"/>
    <w:rsid w:val="00B4129D"/>
    <w:rsid w:val="00B4146A"/>
    <w:rsid w:val="00B414B9"/>
    <w:rsid w:val="00B41516"/>
    <w:rsid w:val="00B41857"/>
    <w:rsid w:val="00B419B8"/>
    <w:rsid w:val="00B41ECC"/>
    <w:rsid w:val="00B42D76"/>
    <w:rsid w:val="00B434C6"/>
    <w:rsid w:val="00B43A2A"/>
    <w:rsid w:val="00B4455E"/>
    <w:rsid w:val="00B44985"/>
    <w:rsid w:val="00B44CCA"/>
    <w:rsid w:val="00B45A34"/>
    <w:rsid w:val="00B45F77"/>
    <w:rsid w:val="00B4672F"/>
    <w:rsid w:val="00B4702A"/>
    <w:rsid w:val="00B50B63"/>
    <w:rsid w:val="00B52251"/>
    <w:rsid w:val="00B53369"/>
    <w:rsid w:val="00B53B06"/>
    <w:rsid w:val="00B53FA2"/>
    <w:rsid w:val="00B543AF"/>
    <w:rsid w:val="00B54446"/>
    <w:rsid w:val="00B545DC"/>
    <w:rsid w:val="00B54916"/>
    <w:rsid w:val="00B55A86"/>
    <w:rsid w:val="00B56325"/>
    <w:rsid w:val="00B5731C"/>
    <w:rsid w:val="00B57427"/>
    <w:rsid w:val="00B57911"/>
    <w:rsid w:val="00B57C77"/>
    <w:rsid w:val="00B600EE"/>
    <w:rsid w:val="00B602F5"/>
    <w:rsid w:val="00B6051E"/>
    <w:rsid w:val="00B61ABF"/>
    <w:rsid w:val="00B6266A"/>
    <w:rsid w:val="00B62AEA"/>
    <w:rsid w:val="00B641BD"/>
    <w:rsid w:val="00B64D18"/>
    <w:rsid w:val="00B67135"/>
    <w:rsid w:val="00B67296"/>
    <w:rsid w:val="00B70947"/>
    <w:rsid w:val="00B70D8E"/>
    <w:rsid w:val="00B70EA5"/>
    <w:rsid w:val="00B70FD3"/>
    <w:rsid w:val="00B718EA"/>
    <w:rsid w:val="00B729C8"/>
    <w:rsid w:val="00B73923"/>
    <w:rsid w:val="00B73B0D"/>
    <w:rsid w:val="00B75494"/>
    <w:rsid w:val="00B756BC"/>
    <w:rsid w:val="00B759CA"/>
    <w:rsid w:val="00B75CCB"/>
    <w:rsid w:val="00B7666C"/>
    <w:rsid w:val="00B767D7"/>
    <w:rsid w:val="00B76A6B"/>
    <w:rsid w:val="00B770D3"/>
    <w:rsid w:val="00B773AF"/>
    <w:rsid w:val="00B77577"/>
    <w:rsid w:val="00B775A4"/>
    <w:rsid w:val="00B80E01"/>
    <w:rsid w:val="00B81029"/>
    <w:rsid w:val="00B810B8"/>
    <w:rsid w:val="00B81695"/>
    <w:rsid w:val="00B81A48"/>
    <w:rsid w:val="00B81E56"/>
    <w:rsid w:val="00B826D5"/>
    <w:rsid w:val="00B82A7D"/>
    <w:rsid w:val="00B82AE9"/>
    <w:rsid w:val="00B82FC4"/>
    <w:rsid w:val="00B8485B"/>
    <w:rsid w:val="00B8487F"/>
    <w:rsid w:val="00B84E4E"/>
    <w:rsid w:val="00B8543F"/>
    <w:rsid w:val="00B854D1"/>
    <w:rsid w:val="00B859CD"/>
    <w:rsid w:val="00B860DC"/>
    <w:rsid w:val="00B86252"/>
    <w:rsid w:val="00B86BDE"/>
    <w:rsid w:val="00B90762"/>
    <w:rsid w:val="00B90EBA"/>
    <w:rsid w:val="00B91377"/>
    <w:rsid w:val="00B91D9D"/>
    <w:rsid w:val="00B92A16"/>
    <w:rsid w:val="00B931CA"/>
    <w:rsid w:val="00B933E6"/>
    <w:rsid w:val="00B93E9D"/>
    <w:rsid w:val="00B93EC5"/>
    <w:rsid w:val="00B9439D"/>
    <w:rsid w:val="00B94ED3"/>
    <w:rsid w:val="00B951ED"/>
    <w:rsid w:val="00B9537C"/>
    <w:rsid w:val="00B968CB"/>
    <w:rsid w:val="00B96F31"/>
    <w:rsid w:val="00B971B8"/>
    <w:rsid w:val="00B97569"/>
    <w:rsid w:val="00B97619"/>
    <w:rsid w:val="00B976BB"/>
    <w:rsid w:val="00BA0088"/>
    <w:rsid w:val="00BA0A6F"/>
    <w:rsid w:val="00BA0C99"/>
    <w:rsid w:val="00BA0F64"/>
    <w:rsid w:val="00BA1227"/>
    <w:rsid w:val="00BA1E28"/>
    <w:rsid w:val="00BA20EF"/>
    <w:rsid w:val="00BA2978"/>
    <w:rsid w:val="00BA37BD"/>
    <w:rsid w:val="00BA38B5"/>
    <w:rsid w:val="00BA4533"/>
    <w:rsid w:val="00BA4C23"/>
    <w:rsid w:val="00BA54F5"/>
    <w:rsid w:val="00BA60B0"/>
    <w:rsid w:val="00BA622D"/>
    <w:rsid w:val="00BA68C8"/>
    <w:rsid w:val="00BA6D9D"/>
    <w:rsid w:val="00BA7CAC"/>
    <w:rsid w:val="00BB0656"/>
    <w:rsid w:val="00BB0AE4"/>
    <w:rsid w:val="00BB1456"/>
    <w:rsid w:val="00BB18F1"/>
    <w:rsid w:val="00BB1B13"/>
    <w:rsid w:val="00BB1E23"/>
    <w:rsid w:val="00BB272D"/>
    <w:rsid w:val="00BB2A71"/>
    <w:rsid w:val="00BB2DF6"/>
    <w:rsid w:val="00BB2E34"/>
    <w:rsid w:val="00BB34C9"/>
    <w:rsid w:val="00BB428C"/>
    <w:rsid w:val="00BB4578"/>
    <w:rsid w:val="00BB4A64"/>
    <w:rsid w:val="00BB4AC9"/>
    <w:rsid w:val="00BB572F"/>
    <w:rsid w:val="00BB5F71"/>
    <w:rsid w:val="00BB605C"/>
    <w:rsid w:val="00BB60BC"/>
    <w:rsid w:val="00BB661B"/>
    <w:rsid w:val="00BB6A9D"/>
    <w:rsid w:val="00BB6AD4"/>
    <w:rsid w:val="00BB72FA"/>
    <w:rsid w:val="00BB7908"/>
    <w:rsid w:val="00BB7A36"/>
    <w:rsid w:val="00BB7E5E"/>
    <w:rsid w:val="00BC0F0B"/>
    <w:rsid w:val="00BC19B3"/>
    <w:rsid w:val="00BC221C"/>
    <w:rsid w:val="00BC357A"/>
    <w:rsid w:val="00BC3AB6"/>
    <w:rsid w:val="00BC3AC2"/>
    <w:rsid w:val="00BC3E95"/>
    <w:rsid w:val="00BC4E0A"/>
    <w:rsid w:val="00BC50FB"/>
    <w:rsid w:val="00BC5357"/>
    <w:rsid w:val="00BC555E"/>
    <w:rsid w:val="00BC5BB1"/>
    <w:rsid w:val="00BC6120"/>
    <w:rsid w:val="00BC6643"/>
    <w:rsid w:val="00BC6B8A"/>
    <w:rsid w:val="00BC727C"/>
    <w:rsid w:val="00BD00DC"/>
    <w:rsid w:val="00BD1AC8"/>
    <w:rsid w:val="00BD1ADC"/>
    <w:rsid w:val="00BD24B3"/>
    <w:rsid w:val="00BD2AB5"/>
    <w:rsid w:val="00BD427B"/>
    <w:rsid w:val="00BD4BC3"/>
    <w:rsid w:val="00BD4E34"/>
    <w:rsid w:val="00BD52B2"/>
    <w:rsid w:val="00BD5E4F"/>
    <w:rsid w:val="00BD6634"/>
    <w:rsid w:val="00BD6767"/>
    <w:rsid w:val="00BD6E84"/>
    <w:rsid w:val="00BD7377"/>
    <w:rsid w:val="00BE05C1"/>
    <w:rsid w:val="00BE0755"/>
    <w:rsid w:val="00BE081B"/>
    <w:rsid w:val="00BE0D27"/>
    <w:rsid w:val="00BE0DD4"/>
    <w:rsid w:val="00BE1DB2"/>
    <w:rsid w:val="00BE1F9D"/>
    <w:rsid w:val="00BE23C5"/>
    <w:rsid w:val="00BE282C"/>
    <w:rsid w:val="00BE2D1A"/>
    <w:rsid w:val="00BE2FB3"/>
    <w:rsid w:val="00BE305A"/>
    <w:rsid w:val="00BE3614"/>
    <w:rsid w:val="00BE384B"/>
    <w:rsid w:val="00BE46A4"/>
    <w:rsid w:val="00BE4BA3"/>
    <w:rsid w:val="00BE4F9B"/>
    <w:rsid w:val="00BE552C"/>
    <w:rsid w:val="00BE5903"/>
    <w:rsid w:val="00BE5A61"/>
    <w:rsid w:val="00BE5AF4"/>
    <w:rsid w:val="00BE5BF3"/>
    <w:rsid w:val="00BE5DA8"/>
    <w:rsid w:val="00BE6914"/>
    <w:rsid w:val="00BE78DB"/>
    <w:rsid w:val="00BE7C42"/>
    <w:rsid w:val="00BE7E13"/>
    <w:rsid w:val="00BF0673"/>
    <w:rsid w:val="00BF0AB9"/>
    <w:rsid w:val="00BF0ADB"/>
    <w:rsid w:val="00BF0BD1"/>
    <w:rsid w:val="00BF1166"/>
    <w:rsid w:val="00BF117C"/>
    <w:rsid w:val="00BF17AA"/>
    <w:rsid w:val="00BF19AA"/>
    <w:rsid w:val="00BF1C83"/>
    <w:rsid w:val="00BF1EB1"/>
    <w:rsid w:val="00BF2A6D"/>
    <w:rsid w:val="00BF2D8C"/>
    <w:rsid w:val="00BF3045"/>
    <w:rsid w:val="00BF3BA6"/>
    <w:rsid w:val="00BF4C7D"/>
    <w:rsid w:val="00BF51D2"/>
    <w:rsid w:val="00BF60D8"/>
    <w:rsid w:val="00BF611F"/>
    <w:rsid w:val="00BF68C3"/>
    <w:rsid w:val="00BF72A2"/>
    <w:rsid w:val="00BF74AF"/>
    <w:rsid w:val="00C00AA9"/>
    <w:rsid w:val="00C014BB"/>
    <w:rsid w:val="00C01872"/>
    <w:rsid w:val="00C01977"/>
    <w:rsid w:val="00C01A7C"/>
    <w:rsid w:val="00C01C32"/>
    <w:rsid w:val="00C02435"/>
    <w:rsid w:val="00C02D7C"/>
    <w:rsid w:val="00C0345D"/>
    <w:rsid w:val="00C03970"/>
    <w:rsid w:val="00C03A5F"/>
    <w:rsid w:val="00C04A22"/>
    <w:rsid w:val="00C04DC5"/>
    <w:rsid w:val="00C04E8F"/>
    <w:rsid w:val="00C050C2"/>
    <w:rsid w:val="00C05BD6"/>
    <w:rsid w:val="00C05D3C"/>
    <w:rsid w:val="00C05E60"/>
    <w:rsid w:val="00C067B6"/>
    <w:rsid w:val="00C06965"/>
    <w:rsid w:val="00C06B2F"/>
    <w:rsid w:val="00C077C7"/>
    <w:rsid w:val="00C107EC"/>
    <w:rsid w:val="00C10BD8"/>
    <w:rsid w:val="00C11220"/>
    <w:rsid w:val="00C11E7C"/>
    <w:rsid w:val="00C12F03"/>
    <w:rsid w:val="00C1312D"/>
    <w:rsid w:val="00C133F0"/>
    <w:rsid w:val="00C13742"/>
    <w:rsid w:val="00C13924"/>
    <w:rsid w:val="00C139BB"/>
    <w:rsid w:val="00C14DA2"/>
    <w:rsid w:val="00C15235"/>
    <w:rsid w:val="00C15837"/>
    <w:rsid w:val="00C15A43"/>
    <w:rsid w:val="00C162B5"/>
    <w:rsid w:val="00C164B9"/>
    <w:rsid w:val="00C16C32"/>
    <w:rsid w:val="00C16F87"/>
    <w:rsid w:val="00C17232"/>
    <w:rsid w:val="00C174E9"/>
    <w:rsid w:val="00C17619"/>
    <w:rsid w:val="00C1770B"/>
    <w:rsid w:val="00C177F1"/>
    <w:rsid w:val="00C204E4"/>
    <w:rsid w:val="00C20601"/>
    <w:rsid w:val="00C20D1E"/>
    <w:rsid w:val="00C21934"/>
    <w:rsid w:val="00C21AB9"/>
    <w:rsid w:val="00C21EA2"/>
    <w:rsid w:val="00C21FCD"/>
    <w:rsid w:val="00C22A2A"/>
    <w:rsid w:val="00C22D75"/>
    <w:rsid w:val="00C2319E"/>
    <w:rsid w:val="00C2385B"/>
    <w:rsid w:val="00C2388D"/>
    <w:rsid w:val="00C23DDC"/>
    <w:rsid w:val="00C24321"/>
    <w:rsid w:val="00C24B4F"/>
    <w:rsid w:val="00C24C3B"/>
    <w:rsid w:val="00C24F88"/>
    <w:rsid w:val="00C25651"/>
    <w:rsid w:val="00C259D7"/>
    <w:rsid w:val="00C2623B"/>
    <w:rsid w:val="00C2670B"/>
    <w:rsid w:val="00C27CA0"/>
    <w:rsid w:val="00C27FC5"/>
    <w:rsid w:val="00C3048C"/>
    <w:rsid w:val="00C317FB"/>
    <w:rsid w:val="00C31883"/>
    <w:rsid w:val="00C31B96"/>
    <w:rsid w:val="00C32262"/>
    <w:rsid w:val="00C3234B"/>
    <w:rsid w:val="00C323BE"/>
    <w:rsid w:val="00C3246C"/>
    <w:rsid w:val="00C32862"/>
    <w:rsid w:val="00C32AD8"/>
    <w:rsid w:val="00C32BF4"/>
    <w:rsid w:val="00C32F6C"/>
    <w:rsid w:val="00C33C11"/>
    <w:rsid w:val="00C33D7B"/>
    <w:rsid w:val="00C3417E"/>
    <w:rsid w:val="00C34E9C"/>
    <w:rsid w:val="00C35046"/>
    <w:rsid w:val="00C360B4"/>
    <w:rsid w:val="00C369B7"/>
    <w:rsid w:val="00C36CDD"/>
    <w:rsid w:val="00C3707E"/>
    <w:rsid w:val="00C3722D"/>
    <w:rsid w:val="00C37E44"/>
    <w:rsid w:val="00C40F42"/>
    <w:rsid w:val="00C4128A"/>
    <w:rsid w:val="00C41704"/>
    <w:rsid w:val="00C41F46"/>
    <w:rsid w:val="00C42823"/>
    <w:rsid w:val="00C42915"/>
    <w:rsid w:val="00C42DE2"/>
    <w:rsid w:val="00C43CDC"/>
    <w:rsid w:val="00C4484F"/>
    <w:rsid w:val="00C44B20"/>
    <w:rsid w:val="00C44CBC"/>
    <w:rsid w:val="00C451B3"/>
    <w:rsid w:val="00C45CCB"/>
    <w:rsid w:val="00C45F09"/>
    <w:rsid w:val="00C46043"/>
    <w:rsid w:val="00C46BAA"/>
    <w:rsid w:val="00C46FB0"/>
    <w:rsid w:val="00C4736A"/>
    <w:rsid w:val="00C476BE"/>
    <w:rsid w:val="00C47DA9"/>
    <w:rsid w:val="00C50E61"/>
    <w:rsid w:val="00C50F9C"/>
    <w:rsid w:val="00C511FF"/>
    <w:rsid w:val="00C514EA"/>
    <w:rsid w:val="00C51615"/>
    <w:rsid w:val="00C52280"/>
    <w:rsid w:val="00C523E9"/>
    <w:rsid w:val="00C526D1"/>
    <w:rsid w:val="00C52FF9"/>
    <w:rsid w:val="00C5366B"/>
    <w:rsid w:val="00C53951"/>
    <w:rsid w:val="00C53DAC"/>
    <w:rsid w:val="00C53E28"/>
    <w:rsid w:val="00C53EDB"/>
    <w:rsid w:val="00C54CF3"/>
    <w:rsid w:val="00C54F91"/>
    <w:rsid w:val="00C5511A"/>
    <w:rsid w:val="00C55317"/>
    <w:rsid w:val="00C557DE"/>
    <w:rsid w:val="00C55D35"/>
    <w:rsid w:val="00C5614D"/>
    <w:rsid w:val="00C56199"/>
    <w:rsid w:val="00C56304"/>
    <w:rsid w:val="00C5693C"/>
    <w:rsid w:val="00C56A04"/>
    <w:rsid w:val="00C60797"/>
    <w:rsid w:val="00C60895"/>
    <w:rsid w:val="00C6089C"/>
    <w:rsid w:val="00C61119"/>
    <w:rsid w:val="00C61344"/>
    <w:rsid w:val="00C61401"/>
    <w:rsid w:val="00C61805"/>
    <w:rsid w:val="00C61860"/>
    <w:rsid w:val="00C61B81"/>
    <w:rsid w:val="00C62323"/>
    <w:rsid w:val="00C623AA"/>
    <w:rsid w:val="00C62479"/>
    <w:rsid w:val="00C63B69"/>
    <w:rsid w:val="00C63F6D"/>
    <w:rsid w:val="00C645AD"/>
    <w:rsid w:val="00C65087"/>
    <w:rsid w:val="00C65508"/>
    <w:rsid w:val="00C656B0"/>
    <w:rsid w:val="00C65B6E"/>
    <w:rsid w:val="00C65D87"/>
    <w:rsid w:val="00C660C1"/>
    <w:rsid w:val="00C6623C"/>
    <w:rsid w:val="00C66F58"/>
    <w:rsid w:val="00C67511"/>
    <w:rsid w:val="00C67817"/>
    <w:rsid w:val="00C7035D"/>
    <w:rsid w:val="00C7070F"/>
    <w:rsid w:val="00C70E70"/>
    <w:rsid w:val="00C715C3"/>
    <w:rsid w:val="00C720A1"/>
    <w:rsid w:val="00C720CC"/>
    <w:rsid w:val="00C732BB"/>
    <w:rsid w:val="00C740F9"/>
    <w:rsid w:val="00C741D4"/>
    <w:rsid w:val="00C74539"/>
    <w:rsid w:val="00C75234"/>
    <w:rsid w:val="00C75751"/>
    <w:rsid w:val="00C758C8"/>
    <w:rsid w:val="00C75DF2"/>
    <w:rsid w:val="00C76B8C"/>
    <w:rsid w:val="00C80430"/>
    <w:rsid w:val="00C80962"/>
    <w:rsid w:val="00C809AF"/>
    <w:rsid w:val="00C80F0C"/>
    <w:rsid w:val="00C82AD8"/>
    <w:rsid w:val="00C82B5E"/>
    <w:rsid w:val="00C82E93"/>
    <w:rsid w:val="00C82F95"/>
    <w:rsid w:val="00C83295"/>
    <w:rsid w:val="00C8346A"/>
    <w:rsid w:val="00C837DA"/>
    <w:rsid w:val="00C83A4F"/>
    <w:rsid w:val="00C83A79"/>
    <w:rsid w:val="00C83E39"/>
    <w:rsid w:val="00C83F4A"/>
    <w:rsid w:val="00C844AF"/>
    <w:rsid w:val="00C8472B"/>
    <w:rsid w:val="00C84835"/>
    <w:rsid w:val="00C84F3C"/>
    <w:rsid w:val="00C84FA2"/>
    <w:rsid w:val="00C85066"/>
    <w:rsid w:val="00C85371"/>
    <w:rsid w:val="00C856F4"/>
    <w:rsid w:val="00C8597E"/>
    <w:rsid w:val="00C85F03"/>
    <w:rsid w:val="00C86E51"/>
    <w:rsid w:val="00C873C2"/>
    <w:rsid w:val="00C873C7"/>
    <w:rsid w:val="00C879D4"/>
    <w:rsid w:val="00C9010E"/>
    <w:rsid w:val="00C9025E"/>
    <w:rsid w:val="00C90298"/>
    <w:rsid w:val="00C90DCD"/>
    <w:rsid w:val="00C910F2"/>
    <w:rsid w:val="00C91808"/>
    <w:rsid w:val="00C91852"/>
    <w:rsid w:val="00C92F9B"/>
    <w:rsid w:val="00C93291"/>
    <w:rsid w:val="00C93A81"/>
    <w:rsid w:val="00C94154"/>
    <w:rsid w:val="00C94940"/>
    <w:rsid w:val="00C94E35"/>
    <w:rsid w:val="00C950EF"/>
    <w:rsid w:val="00C956EF"/>
    <w:rsid w:val="00C95EF9"/>
    <w:rsid w:val="00C95F05"/>
    <w:rsid w:val="00C95FE7"/>
    <w:rsid w:val="00C96B53"/>
    <w:rsid w:val="00C96D11"/>
    <w:rsid w:val="00C96E96"/>
    <w:rsid w:val="00C9725D"/>
    <w:rsid w:val="00C97A2E"/>
    <w:rsid w:val="00C97B24"/>
    <w:rsid w:val="00C97EE2"/>
    <w:rsid w:val="00CA12E4"/>
    <w:rsid w:val="00CA165B"/>
    <w:rsid w:val="00CA16DA"/>
    <w:rsid w:val="00CA214A"/>
    <w:rsid w:val="00CA2B00"/>
    <w:rsid w:val="00CA2BE7"/>
    <w:rsid w:val="00CA2F63"/>
    <w:rsid w:val="00CA32F3"/>
    <w:rsid w:val="00CA332D"/>
    <w:rsid w:val="00CA3A12"/>
    <w:rsid w:val="00CA3A1A"/>
    <w:rsid w:val="00CA4F4D"/>
    <w:rsid w:val="00CA4F68"/>
    <w:rsid w:val="00CA50CB"/>
    <w:rsid w:val="00CA517B"/>
    <w:rsid w:val="00CA5937"/>
    <w:rsid w:val="00CA6389"/>
    <w:rsid w:val="00CA6CA4"/>
    <w:rsid w:val="00CA6F0C"/>
    <w:rsid w:val="00CA6F85"/>
    <w:rsid w:val="00CA7D5E"/>
    <w:rsid w:val="00CB05AB"/>
    <w:rsid w:val="00CB0909"/>
    <w:rsid w:val="00CB0A1B"/>
    <w:rsid w:val="00CB0DCC"/>
    <w:rsid w:val="00CB0E93"/>
    <w:rsid w:val="00CB0F76"/>
    <w:rsid w:val="00CB1088"/>
    <w:rsid w:val="00CB13D7"/>
    <w:rsid w:val="00CB1409"/>
    <w:rsid w:val="00CB224B"/>
    <w:rsid w:val="00CB2B34"/>
    <w:rsid w:val="00CB35E6"/>
    <w:rsid w:val="00CB3E84"/>
    <w:rsid w:val="00CB41B0"/>
    <w:rsid w:val="00CB457C"/>
    <w:rsid w:val="00CB49D5"/>
    <w:rsid w:val="00CB4A8B"/>
    <w:rsid w:val="00CB4F39"/>
    <w:rsid w:val="00CB5026"/>
    <w:rsid w:val="00CB5121"/>
    <w:rsid w:val="00CB5B8F"/>
    <w:rsid w:val="00CB5DB6"/>
    <w:rsid w:val="00CB5FF1"/>
    <w:rsid w:val="00CB60C4"/>
    <w:rsid w:val="00CB6242"/>
    <w:rsid w:val="00CB62F4"/>
    <w:rsid w:val="00CB6479"/>
    <w:rsid w:val="00CB67EA"/>
    <w:rsid w:val="00CB6840"/>
    <w:rsid w:val="00CB73B7"/>
    <w:rsid w:val="00CC01EE"/>
    <w:rsid w:val="00CC08EA"/>
    <w:rsid w:val="00CC0988"/>
    <w:rsid w:val="00CC167B"/>
    <w:rsid w:val="00CC21F0"/>
    <w:rsid w:val="00CC2C42"/>
    <w:rsid w:val="00CC303D"/>
    <w:rsid w:val="00CC3796"/>
    <w:rsid w:val="00CC4329"/>
    <w:rsid w:val="00CC50C0"/>
    <w:rsid w:val="00CC5229"/>
    <w:rsid w:val="00CC546C"/>
    <w:rsid w:val="00CC54F2"/>
    <w:rsid w:val="00CC5807"/>
    <w:rsid w:val="00CC5C1B"/>
    <w:rsid w:val="00CC731B"/>
    <w:rsid w:val="00CC7DDF"/>
    <w:rsid w:val="00CD003F"/>
    <w:rsid w:val="00CD042D"/>
    <w:rsid w:val="00CD11BE"/>
    <w:rsid w:val="00CD13C7"/>
    <w:rsid w:val="00CD13F6"/>
    <w:rsid w:val="00CD165D"/>
    <w:rsid w:val="00CD1CB2"/>
    <w:rsid w:val="00CD23F9"/>
    <w:rsid w:val="00CD2854"/>
    <w:rsid w:val="00CD3665"/>
    <w:rsid w:val="00CD3676"/>
    <w:rsid w:val="00CD3696"/>
    <w:rsid w:val="00CD38B4"/>
    <w:rsid w:val="00CD38D0"/>
    <w:rsid w:val="00CD3A83"/>
    <w:rsid w:val="00CD3D5A"/>
    <w:rsid w:val="00CD3D9E"/>
    <w:rsid w:val="00CD584A"/>
    <w:rsid w:val="00CD5CA4"/>
    <w:rsid w:val="00CD5E94"/>
    <w:rsid w:val="00CD5EE8"/>
    <w:rsid w:val="00CD639D"/>
    <w:rsid w:val="00CD7060"/>
    <w:rsid w:val="00CD7608"/>
    <w:rsid w:val="00CD78D6"/>
    <w:rsid w:val="00CE1211"/>
    <w:rsid w:val="00CE152B"/>
    <w:rsid w:val="00CE1B81"/>
    <w:rsid w:val="00CE264E"/>
    <w:rsid w:val="00CE2657"/>
    <w:rsid w:val="00CE2849"/>
    <w:rsid w:val="00CE2937"/>
    <w:rsid w:val="00CE2AC9"/>
    <w:rsid w:val="00CE2F1C"/>
    <w:rsid w:val="00CE2FE0"/>
    <w:rsid w:val="00CE30DA"/>
    <w:rsid w:val="00CE348D"/>
    <w:rsid w:val="00CE3611"/>
    <w:rsid w:val="00CE4391"/>
    <w:rsid w:val="00CE4C0F"/>
    <w:rsid w:val="00CE4E7C"/>
    <w:rsid w:val="00CE5050"/>
    <w:rsid w:val="00CE5B5F"/>
    <w:rsid w:val="00CE5C45"/>
    <w:rsid w:val="00CE6203"/>
    <w:rsid w:val="00CE633B"/>
    <w:rsid w:val="00CE7086"/>
    <w:rsid w:val="00CF0454"/>
    <w:rsid w:val="00CF05D7"/>
    <w:rsid w:val="00CF2111"/>
    <w:rsid w:val="00CF226C"/>
    <w:rsid w:val="00CF25E3"/>
    <w:rsid w:val="00CF2681"/>
    <w:rsid w:val="00CF28BE"/>
    <w:rsid w:val="00CF2DAA"/>
    <w:rsid w:val="00CF39C0"/>
    <w:rsid w:val="00CF40E5"/>
    <w:rsid w:val="00CF426F"/>
    <w:rsid w:val="00CF42B6"/>
    <w:rsid w:val="00CF43BB"/>
    <w:rsid w:val="00CF4CE6"/>
    <w:rsid w:val="00CF4E1F"/>
    <w:rsid w:val="00CF5705"/>
    <w:rsid w:val="00CF5B23"/>
    <w:rsid w:val="00CF5F03"/>
    <w:rsid w:val="00CF6025"/>
    <w:rsid w:val="00CF657D"/>
    <w:rsid w:val="00CF78EC"/>
    <w:rsid w:val="00CF79AB"/>
    <w:rsid w:val="00CF7DF9"/>
    <w:rsid w:val="00D003D1"/>
    <w:rsid w:val="00D00561"/>
    <w:rsid w:val="00D01A0E"/>
    <w:rsid w:val="00D01B0B"/>
    <w:rsid w:val="00D0275E"/>
    <w:rsid w:val="00D02DEE"/>
    <w:rsid w:val="00D0346B"/>
    <w:rsid w:val="00D03AD9"/>
    <w:rsid w:val="00D04578"/>
    <w:rsid w:val="00D04C71"/>
    <w:rsid w:val="00D04DA4"/>
    <w:rsid w:val="00D057CB"/>
    <w:rsid w:val="00D06027"/>
    <w:rsid w:val="00D065A6"/>
    <w:rsid w:val="00D0686A"/>
    <w:rsid w:val="00D068C2"/>
    <w:rsid w:val="00D06B31"/>
    <w:rsid w:val="00D06B9D"/>
    <w:rsid w:val="00D06CE9"/>
    <w:rsid w:val="00D07199"/>
    <w:rsid w:val="00D071FD"/>
    <w:rsid w:val="00D07300"/>
    <w:rsid w:val="00D07441"/>
    <w:rsid w:val="00D07EA0"/>
    <w:rsid w:val="00D07FD6"/>
    <w:rsid w:val="00D103ED"/>
    <w:rsid w:val="00D10575"/>
    <w:rsid w:val="00D109A9"/>
    <w:rsid w:val="00D111BC"/>
    <w:rsid w:val="00D116A1"/>
    <w:rsid w:val="00D11D8F"/>
    <w:rsid w:val="00D11F6D"/>
    <w:rsid w:val="00D12626"/>
    <w:rsid w:val="00D12E0C"/>
    <w:rsid w:val="00D132FB"/>
    <w:rsid w:val="00D13372"/>
    <w:rsid w:val="00D1343E"/>
    <w:rsid w:val="00D13452"/>
    <w:rsid w:val="00D14135"/>
    <w:rsid w:val="00D14BC6"/>
    <w:rsid w:val="00D15D2B"/>
    <w:rsid w:val="00D1613F"/>
    <w:rsid w:val="00D168BA"/>
    <w:rsid w:val="00D16B5A"/>
    <w:rsid w:val="00D16EEB"/>
    <w:rsid w:val="00D1709C"/>
    <w:rsid w:val="00D17491"/>
    <w:rsid w:val="00D17D42"/>
    <w:rsid w:val="00D20CDA"/>
    <w:rsid w:val="00D21872"/>
    <w:rsid w:val="00D21B29"/>
    <w:rsid w:val="00D221C5"/>
    <w:rsid w:val="00D221D5"/>
    <w:rsid w:val="00D22960"/>
    <w:rsid w:val="00D229A3"/>
    <w:rsid w:val="00D2362F"/>
    <w:rsid w:val="00D2367F"/>
    <w:rsid w:val="00D23FCB"/>
    <w:rsid w:val="00D249CE"/>
    <w:rsid w:val="00D25128"/>
    <w:rsid w:val="00D2521D"/>
    <w:rsid w:val="00D253BB"/>
    <w:rsid w:val="00D25692"/>
    <w:rsid w:val="00D25F3A"/>
    <w:rsid w:val="00D25FDC"/>
    <w:rsid w:val="00D2601D"/>
    <w:rsid w:val="00D263DC"/>
    <w:rsid w:val="00D26836"/>
    <w:rsid w:val="00D26B47"/>
    <w:rsid w:val="00D26DE0"/>
    <w:rsid w:val="00D26EA4"/>
    <w:rsid w:val="00D270D9"/>
    <w:rsid w:val="00D271CB"/>
    <w:rsid w:val="00D2766F"/>
    <w:rsid w:val="00D303AB"/>
    <w:rsid w:val="00D31468"/>
    <w:rsid w:val="00D314FB"/>
    <w:rsid w:val="00D31949"/>
    <w:rsid w:val="00D31B5D"/>
    <w:rsid w:val="00D31CFE"/>
    <w:rsid w:val="00D3279B"/>
    <w:rsid w:val="00D32838"/>
    <w:rsid w:val="00D32C7B"/>
    <w:rsid w:val="00D32EA0"/>
    <w:rsid w:val="00D32FBA"/>
    <w:rsid w:val="00D33492"/>
    <w:rsid w:val="00D33DD3"/>
    <w:rsid w:val="00D344E0"/>
    <w:rsid w:val="00D3472D"/>
    <w:rsid w:val="00D3536F"/>
    <w:rsid w:val="00D35996"/>
    <w:rsid w:val="00D35C86"/>
    <w:rsid w:val="00D35DBB"/>
    <w:rsid w:val="00D35DCD"/>
    <w:rsid w:val="00D36A4C"/>
    <w:rsid w:val="00D371AB"/>
    <w:rsid w:val="00D37763"/>
    <w:rsid w:val="00D37984"/>
    <w:rsid w:val="00D37F17"/>
    <w:rsid w:val="00D37F1C"/>
    <w:rsid w:val="00D40AD4"/>
    <w:rsid w:val="00D40E4E"/>
    <w:rsid w:val="00D410F5"/>
    <w:rsid w:val="00D411B4"/>
    <w:rsid w:val="00D41DA3"/>
    <w:rsid w:val="00D4203B"/>
    <w:rsid w:val="00D42185"/>
    <w:rsid w:val="00D42585"/>
    <w:rsid w:val="00D4274C"/>
    <w:rsid w:val="00D428FE"/>
    <w:rsid w:val="00D42D62"/>
    <w:rsid w:val="00D42FEF"/>
    <w:rsid w:val="00D4331C"/>
    <w:rsid w:val="00D43C2E"/>
    <w:rsid w:val="00D43CC4"/>
    <w:rsid w:val="00D44806"/>
    <w:rsid w:val="00D44F12"/>
    <w:rsid w:val="00D45BE8"/>
    <w:rsid w:val="00D46148"/>
    <w:rsid w:val="00D466EB"/>
    <w:rsid w:val="00D46923"/>
    <w:rsid w:val="00D46DDD"/>
    <w:rsid w:val="00D46DE7"/>
    <w:rsid w:val="00D47829"/>
    <w:rsid w:val="00D478B2"/>
    <w:rsid w:val="00D47AA0"/>
    <w:rsid w:val="00D47AA9"/>
    <w:rsid w:val="00D47DA3"/>
    <w:rsid w:val="00D50DDB"/>
    <w:rsid w:val="00D530BA"/>
    <w:rsid w:val="00D53472"/>
    <w:rsid w:val="00D5376C"/>
    <w:rsid w:val="00D53A56"/>
    <w:rsid w:val="00D53BEA"/>
    <w:rsid w:val="00D53C30"/>
    <w:rsid w:val="00D54216"/>
    <w:rsid w:val="00D54E07"/>
    <w:rsid w:val="00D5514B"/>
    <w:rsid w:val="00D5536F"/>
    <w:rsid w:val="00D56E2B"/>
    <w:rsid w:val="00D57170"/>
    <w:rsid w:val="00D5781E"/>
    <w:rsid w:val="00D60036"/>
    <w:rsid w:val="00D6040B"/>
    <w:rsid w:val="00D60B5B"/>
    <w:rsid w:val="00D61033"/>
    <w:rsid w:val="00D61722"/>
    <w:rsid w:val="00D618B3"/>
    <w:rsid w:val="00D62BC7"/>
    <w:rsid w:val="00D63A1C"/>
    <w:rsid w:val="00D654E8"/>
    <w:rsid w:val="00D657B3"/>
    <w:rsid w:val="00D67224"/>
    <w:rsid w:val="00D67C75"/>
    <w:rsid w:val="00D67E91"/>
    <w:rsid w:val="00D70383"/>
    <w:rsid w:val="00D70D7C"/>
    <w:rsid w:val="00D70FC5"/>
    <w:rsid w:val="00D7116A"/>
    <w:rsid w:val="00D71600"/>
    <w:rsid w:val="00D71868"/>
    <w:rsid w:val="00D72338"/>
    <w:rsid w:val="00D72D23"/>
    <w:rsid w:val="00D7350E"/>
    <w:rsid w:val="00D73528"/>
    <w:rsid w:val="00D73BCC"/>
    <w:rsid w:val="00D742E3"/>
    <w:rsid w:val="00D74686"/>
    <w:rsid w:val="00D7488B"/>
    <w:rsid w:val="00D74B06"/>
    <w:rsid w:val="00D74CE9"/>
    <w:rsid w:val="00D74D55"/>
    <w:rsid w:val="00D75865"/>
    <w:rsid w:val="00D75F8A"/>
    <w:rsid w:val="00D75FBB"/>
    <w:rsid w:val="00D76252"/>
    <w:rsid w:val="00D76320"/>
    <w:rsid w:val="00D7652D"/>
    <w:rsid w:val="00D76FE1"/>
    <w:rsid w:val="00D7716B"/>
    <w:rsid w:val="00D772B9"/>
    <w:rsid w:val="00D80205"/>
    <w:rsid w:val="00D8091D"/>
    <w:rsid w:val="00D8098F"/>
    <w:rsid w:val="00D811BB"/>
    <w:rsid w:val="00D820AA"/>
    <w:rsid w:val="00D8250A"/>
    <w:rsid w:val="00D828A2"/>
    <w:rsid w:val="00D83B20"/>
    <w:rsid w:val="00D8443A"/>
    <w:rsid w:val="00D848E1"/>
    <w:rsid w:val="00D84D0A"/>
    <w:rsid w:val="00D84DED"/>
    <w:rsid w:val="00D84F97"/>
    <w:rsid w:val="00D85119"/>
    <w:rsid w:val="00D85555"/>
    <w:rsid w:val="00D8582F"/>
    <w:rsid w:val="00D85A16"/>
    <w:rsid w:val="00D85B0E"/>
    <w:rsid w:val="00D85DD8"/>
    <w:rsid w:val="00D8670B"/>
    <w:rsid w:val="00D86E81"/>
    <w:rsid w:val="00D875E2"/>
    <w:rsid w:val="00D910A6"/>
    <w:rsid w:val="00D93745"/>
    <w:rsid w:val="00D93A95"/>
    <w:rsid w:val="00D93BC2"/>
    <w:rsid w:val="00D93BCA"/>
    <w:rsid w:val="00D93FD3"/>
    <w:rsid w:val="00D94323"/>
    <w:rsid w:val="00D95130"/>
    <w:rsid w:val="00D95255"/>
    <w:rsid w:val="00D95877"/>
    <w:rsid w:val="00D95D92"/>
    <w:rsid w:val="00D95DDB"/>
    <w:rsid w:val="00D95F68"/>
    <w:rsid w:val="00D972DA"/>
    <w:rsid w:val="00D97528"/>
    <w:rsid w:val="00D97743"/>
    <w:rsid w:val="00D97978"/>
    <w:rsid w:val="00DA0119"/>
    <w:rsid w:val="00DA0881"/>
    <w:rsid w:val="00DA11A5"/>
    <w:rsid w:val="00DA1A56"/>
    <w:rsid w:val="00DA1F3C"/>
    <w:rsid w:val="00DA22B4"/>
    <w:rsid w:val="00DA2381"/>
    <w:rsid w:val="00DA2FBA"/>
    <w:rsid w:val="00DA366B"/>
    <w:rsid w:val="00DA37B6"/>
    <w:rsid w:val="00DA41D5"/>
    <w:rsid w:val="00DA4DF3"/>
    <w:rsid w:val="00DA51B0"/>
    <w:rsid w:val="00DA5467"/>
    <w:rsid w:val="00DA5AEE"/>
    <w:rsid w:val="00DA5CBC"/>
    <w:rsid w:val="00DA5DAD"/>
    <w:rsid w:val="00DA5F86"/>
    <w:rsid w:val="00DA6F2C"/>
    <w:rsid w:val="00DA702C"/>
    <w:rsid w:val="00DA7345"/>
    <w:rsid w:val="00DA762A"/>
    <w:rsid w:val="00DA7706"/>
    <w:rsid w:val="00DA7C7D"/>
    <w:rsid w:val="00DA7C9C"/>
    <w:rsid w:val="00DB0254"/>
    <w:rsid w:val="00DB045B"/>
    <w:rsid w:val="00DB0E3B"/>
    <w:rsid w:val="00DB0F9E"/>
    <w:rsid w:val="00DB107D"/>
    <w:rsid w:val="00DB12E3"/>
    <w:rsid w:val="00DB1343"/>
    <w:rsid w:val="00DB17B6"/>
    <w:rsid w:val="00DB1F44"/>
    <w:rsid w:val="00DB3068"/>
    <w:rsid w:val="00DB4599"/>
    <w:rsid w:val="00DB4759"/>
    <w:rsid w:val="00DB5081"/>
    <w:rsid w:val="00DB5144"/>
    <w:rsid w:val="00DB53A5"/>
    <w:rsid w:val="00DB5730"/>
    <w:rsid w:val="00DB5735"/>
    <w:rsid w:val="00DB5B00"/>
    <w:rsid w:val="00DB67E3"/>
    <w:rsid w:val="00DB6841"/>
    <w:rsid w:val="00DB68AC"/>
    <w:rsid w:val="00DB6F97"/>
    <w:rsid w:val="00DB708E"/>
    <w:rsid w:val="00DB709B"/>
    <w:rsid w:val="00DB712D"/>
    <w:rsid w:val="00DC04C0"/>
    <w:rsid w:val="00DC0A16"/>
    <w:rsid w:val="00DC0C9F"/>
    <w:rsid w:val="00DC144A"/>
    <w:rsid w:val="00DC1E8D"/>
    <w:rsid w:val="00DC2246"/>
    <w:rsid w:val="00DC25CD"/>
    <w:rsid w:val="00DC27DB"/>
    <w:rsid w:val="00DC3EEC"/>
    <w:rsid w:val="00DC45D9"/>
    <w:rsid w:val="00DC484F"/>
    <w:rsid w:val="00DC4DB1"/>
    <w:rsid w:val="00DC5499"/>
    <w:rsid w:val="00DC6082"/>
    <w:rsid w:val="00DC6155"/>
    <w:rsid w:val="00DC6C5F"/>
    <w:rsid w:val="00DC7732"/>
    <w:rsid w:val="00DC7E47"/>
    <w:rsid w:val="00DD0642"/>
    <w:rsid w:val="00DD074C"/>
    <w:rsid w:val="00DD0862"/>
    <w:rsid w:val="00DD089E"/>
    <w:rsid w:val="00DD12ED"/>
    <w:rsid w:val="00DD19CB"/>
    <w:rsid w:val="00DD1FC8"/>
    <w:rsid w:val="00DD2013"/>
    <w:rsid w:val="00DD28CA"/>
    <w:rsid w:val="00DD2BED"/>
    <w:rsid w:val="00DD3162"/>
    <w:rsid w:val="00DD32E9"/>
    <w:rsid w:val="00DD343F"/>
    <w:rsid w:val="00DD3A4C"/>
    <w:rsid w:val="00DD594D"/>
    <w:rsid w:val="00DD59EF"/>
    <w:rsid w:val="00DD5AFB"/>
    <w:rsid w:val="00DD6378"/>
    <w:rsid w:val="00DD645A"/>
    <w:rsid w:val="00DD662B"/>
    <w:rsid w:val="00DD6B01"/>
    <w:rsid w:val="00DD726E"/>
    <w:rsid w:val="00DD793D"/>
    <w:rsid w:val="00DE0305"/>
    <w:rsid w:val="00DE04A2"/>
    <w:rsid w:val="00DE07F5"/>
    <w:rsid w:val="00DE193F"/>
    <w:rsid w:val="00DE1D8B"/>
    <w:rsid w:val="00DE2592"/>
    <w:rsid w:val="00DE2863"/>
    <w:rsid w:val="00DE2E40"/>
    <w:rsid w:val="00DE344B"/>
    <w:rsid w:val="00DE36E4"/>
    <w:rsid w:val="00DE3C9D"/>
    <w:rsid w:val="00DE4842"/>
    <w:rsid w:val="00DE4871"/>
    <w:rsid w:val="00DE50C0"/>
    <w:rsid w:val="00DE5471"/>
    <w:rsid w:val="00DE5EB4"/>
    <w:rsid w:val="00DE5FA3"/>
    <w:rsid w:val="00DE6206"/>
    <w:rsid w:val="00DE78C4"/>
    <w:rsid w:val="00DF04FE"/>
    <w:rsid w:val="00DF0DCD"/>
    <w:rsid w:val="00DF100A"/>
    <w:rsid w:val="00DF1381"/>
    <w:rsid w:val="00DF15ED"/>
    <w:rsid w:val="00DF1A77"/>
    <w:rsid w:val="00DF2076"/>
    <w:rsid w:val="00DF2964"/>
    <w:rsid w:val="00DF307D"/>
    <w:rsid w:val="00DF31AD"/>
    <w:rsid w:val="00DF3568"/>
    <w:rsid w:val="00DF3E66"/>
    <w:rsid w:val="00DF46C8"/>
    <w:rsid w:val="00DF4C5F"/>
    <w:rsid w:val="00DF4FE7"/>
    <w:rsid w:val="00DF518D"/>
    <w:rsid w:val="00DF51AE"/>
    <w:rsid w:val="00DF5635"/>
    <w:rsid w:val="00DF59A8"/>
    <w:rsid w:val="00DF5A9F"/>
    <w:rsid w:val="00DF5F4B"/>
    <w:rsid w:val="00DF6781"/>
    <w:rsid w:val="00DF6C0E"/>
    <w:rsid w:val="00DF72F5"/>
    <w:rsid w:val="00DF73F7"/>
    <w:rsid w:val="00DF7835"/>
    <w:rsid w:val="00DF7939"/>
    <w:rsid w:val="00DF7C0D"/>
    <w:rsid w:val="00DF7E3B"/>
    <w:rsid w:val="00E00022"/>
    <w:rsid w:val="00E00996"/>
    <w:rsid w:val="00E00A1E"/>
    <w:rsid w:val="00E01529"/>
    <w:rsid w:val="00E016B4"/>
    <w:rsid w:val="00E01B35"/>
    <w:rsid w:val="00E01B98"/>
    <w:rsid w:val="00E01FF7"/>
    <w:rsid w:val="00E025F3"/>
    <w:rsid w:val="00E02647"/>
    <w:rsid w:val="00E034C6"/>
    <w:rsid w:val="00E03583"/>
    <w:rsid w:val="00E042E2"/>
    <w:rsid w:val="00E04318"/>
    <w:rsid w:val="00E04338"/>
    <w:rsid w:val="00E04820"/>
    <w:rsid w:val="00E04C81"/>
    <w:rsid w:val="00E04D62"/>
    <w:rsid w:val="00E05179"/>
    <w:rsid w:val="00E052AD"/>
    <w:rsid w:val="00E057E1"/>
    <w:rsid w:val="00E064A6"/>
    <w:rsid w:val="00E069B3"/>
    <w:rsid w:val="00E06FF8"/>
    <w:rsid w:val="00E0737F"/>
    <w:rsid w:val="00E077B4"/>
    <w:rsid w:val="00E07958"/>
    <w:rsid w:val="00E07C03"/>
    <w:rsid w:val="00E07D6D"/>
    <w:rsid w:val="00E07E5B"/>
    <w:rsid w:val="00E10075"/>
    <w:rsid w:val="00E10455"/>
    <w:rsid w:val="00E106DE"/>
    <w:rsid w:val="00E1089E"/>
    <w:rsid w:val="00E10B1B"/>
    <w:rsid w:val="00E10E22"/>
    <w:rsid w:val="00E11369"/>
    <w:rsid w:val="00E11E05"/>
    <w:rsid w:val="00E12210"/>
    <w:rsid w:val="00E1299B"/>
    <w:rsid w:val="00E12AA6"/>
    <w:rsid w:val="00E12F87"/>
    <w:rsid w:val="00E133C2"/>
    <w:rsid w:val="00E135F9"/>
    <w:rsid w:val="00E148BC"/>
    <w:rsid w:val="00E14C8C"/>
    <w:rsid w:val="00E150F3"/>
    <w:rsid w:val="00E1547B"/>
    <w:rsid w:val="00E1581F"/>
    <w:rsid w:val="00E16D0E"/>
    <w:rsid w:val="00E16FAB"/>
    <w:rsid w:val="00E17703"/>
    <w:rsid w:val="00E2091B"/>
    <w:rsid w:val="00E20E4C"/>
    <w:rsid w:val="00E21758"/>
    <w:rsid w:val="00E21C07"/>
    <w:rsid w:val="00E21DA7"/>
    <w:rsid w:val="00E222CF"/>
    <w:rsid w:val="00E22501"/>
    <w:rsid w:val="00E2278C"/>
    <w:rsid w:val="00E22D24"/>
    <w:rsid w:val="00E23A70"/>
    <w:rsid w:val="00E23E66"/>
    <w:rsid w:val="00E23E6D"/>
    <w:rsid w:val="00E24144"/>
    <w:rsid w:val="00E244F7"/>
    <w:rsid w:val="00E244FA"/>
    <w:rsid w:val="00E246E4"/>
    <w:rsid w:val="00E24C12"/>
    <w:rsid w:val="00E25048"/>
    <w:rsid w:val="00E2568E"/>
    <w:rsid w:val="00E25894"/>
    <w:rsid w:val="00E25C7E"/>
    <w:rsid w:val="00E26741"/>
    <w:rsid w:val="00E268CE"/>
    <w:rsid w:val="00E26B19"/>
    <w:rsid w:val="00E26C13"/>
    <w:rsid w:val="00E27515"/>
    <w:rsid w:val="00E27522"/>
    <w:rsid w:val="00E275CD"/>
    <w:rsid w:val="00E27FB7"/>
    <w:rsid w:val="00E30181"/>
    <w:rsid w:val="00E30C99"/>
    <w:rsid w:val="00E30D79"/>
    <w:rsid w:val="00E314E4"/>
    <w:rsid w:val="00E31673"/>
    <w:rsid w:val="00E318AB"/>
    <w:rsid w:val="00E31971"/>
    <w:rsid w:val="00E32564"/>
    <w:rsid w:val="00E32860"/>
    <w:rsid w:val="00E32A50"/>
    <w:rsid w:val="00E32F61"/>
    <w:rsid w:val="00E332CE"/>
    <w:rsid w:val="00E338D8"/>
    <w:rsid w:val="00E33D0D"/>
    <w:rsid w:val="00E3481C"/>
    <w:rsid w:val="00E3488C"/>
    <w:rsid w:val="00E34D50"/>
    <w:rsid w:val="00E35BF7"/>
    <w:rsid w:val="00E35C02"/>
    <w:rsid w:val="00E35DF2"/>
    <w:rsid w:val="00E35E02"/>
    <w:rsid w:val="00E36713"/>
    <w:rsid w:val="00E36B88"/>
    <w:rsid w:val="00E37591"/>
    <w:rsid w:val="00E3778F"/>
    <w:rsid w:val="00E37D4D"/>
    <w:rsid w:val="00E402B1"/>
    <w:rsid w:val="00E405A9"/>
    <w:rsid w:val="00E4079B"/>
    <w:rsid w:val="00E40954"/>
    <w:rsid w:val="00E4134B"/>
    <w:rsid w:val="00E41BB9"/>
    <w:rsid w:val="00E41C69"/>
    <w:rsid w:val="00E41E01"/>
    <w:rsid w:val="00E4336E"/>
    <w:rsid w:val="00E43809"/>
    <w:rsid w:val="00E43820"/>
    <w:rsid w:val="00E46233"/>
    <w:rsid w:val="00E465E5"/>
    <w:rsid w:val="00E46946"/>
    <w:rsid w:val="00E47291"/>
    <w:rsid w:val="00E47677"/>
    <w:rsid w:val="00E4789D"/>
    <w:rsid w:val="00E47F9F"/>
    <w:rsid w:val="00E50629"/>
    <w:rsid w:val="00E5097A"/>
    <w:rsid w:val="00E50B80"/>
    <w:rsid w:val="00E51838"/>
    <w:rsid w:val="00E51A43"/>
    <w:rsid w:val="00E52493"/>
    <w:rsid w:val="00E52D43"/>
    <w:rsid w:val="00E53022"/>
    <w:rsid w:val="00E5335C"/>
    <w:rsid w:val="00E535A8"/>
    <w:rsid w:val="00E53869"/>
    <w:rsid w:val="00E53880"/>
    <w:rsid w:val="00E54379"/>
    <w:rsid w:val="00E546B3"/>
    <w:rsid w:val="00E54E3A"/>
    <w:rsid w:val="00E551E6"/>
    <w:rsid w:val="00E552CB"/>
    <w:rsid w:val="00E5538F"/>
    <w:rsid w:val="00E56508"/>
    <w:rsid w:val="00E56641"/>
    <w:rsid w:val="00E56C5B"/>
    <w:rsid w:val="00E57030"/>
    <w:rsid w:val="00E5741A"/>
    <w:rsid w:val="00E57671"/>
    <w:rsid w:val="00E577FA"/>
    <w:rsid w:val="00E57C38"/>
    <w:rsid w:val="00E61D26"/>
    <w:rsid w:val="00E626E6"/>
    <w:rsid w:val="00E62A03"/>
    <w:rsid w:val="00E62DB1"/>
    <w:rsid w:val="00E632FB"/>
    <w:rsid w:val="00E63639"/>
    <w:rsid w:val="00E637E5"/>
    <w:rsid w:val="00E638FF"/>
    <w:rsid w:val="00E63A3D"/>
    <w:rsid w:val="00E63FE7"/>
    <w:rsid w:val="00E63FEA"/>
    <w:rsid w:val="00E6402F"/>
    <w:rsid w:val="00E6495C"/>
    <w:rsid w:val="00E64A67"/>
    <w:rsid w:val="00E64D78"/>
    <w:rsid w:val="00E64F30"/>
    <w:rsid w:val="00E65140"/>
    <w:rsid w:val="00E65EB4"/>
    <w:rsid w:val="00E66188"/>
    <w:rsid w:val="00E663C4"/>
    <w:rsid w:val="00E6676F"/>
    <w:rsid w:val="00E669CD"/>
    <w:rsid w:val="00E669F2"/>
    <w:rsid w:val="00E66C37"/>
    <w:rsid w:val="00E66C61"/>
    <w:rsid w:val="00E66CE4"/>
    <w:rsid w:val="00E679D4"/>
    <w:rsid w:val="00E67AA0"/>
    <w:rsid w:val="00E713DE"/>
    <w:rsid w:val="00E716C0"/>
    <w:rsid w:val="00E719A6"/>
    <w:rsid w:val="00E722C6"/>
    <w:rsid w:val="00E72DF8"/>
    <w:rsid w:val="00E72E71"/>
    <w:rsid w:val="00E731D3"/>
    <w:rsid w:val="00E73B29"/>
    <w:rsid w:val="00E73D50"/>
    <w:rsid w:val="00E73EEF"/>
    <w:rsid w:val="00E74A17"/>
    <w:rsid w:val="00E7500E"/>
    <w:rsid w:val="00E7525C"/>
    <w:rsid w:val="00E759B0"/>
    <w:rsid w:val="00E760BB"/>
    <w:rsid w:val="00E76364"/>
    <w:rsid w:val="00E767CB"/>
    <w:rsid w:val="00E76F35"/>
    <w:rsid w:val="00E773A2"/>
    <w:rsid w:val="00E775D9"/>
    <w:rsid w:val="00E77B92"/>
    <w:rsid w:val="00E77CC6"/>
    <w:rsid w:val="00E77DD6"/>
    <w:rsid w:val="00E80F1B"/>
    <w:rsid w:val="00E82056"/>
    <w:rsid w:val="00E834BB"/>
    <w:rsid w:val="00E8393E"/>
    <w:rsid w:val="00E8415E"/>
    <w:rsid w:val="00E8466A"/>
    <w:rsid w:val="00E84A88"/>
    <w:rsid w:val="00E856A6"/>
    <w:rsid w:val="00E85B31"/>
    <w:rsid w:val="00E85CF5"/>
    <w:rsid w:val="00E85D59"/>
    <w:rsid w:val="00E860DF"/>
    <w:rsid w:val="00E8631C"/>
    <w:rsid w:val="00E86467"/>
    <w:rsid w:val="00E8675F"/>
    <w:rsid w:val="00E86FB0"/>
    <w:rsid w:val="00E87181"/>
    <w:rsid w:val="00E876EC"/>
    <w:rsid w:val="00E900F3"/>
    <w:rsid w:val="00E91467"/>
    <w:rsid w:val="00E9213E"/>
    <w:rsid w:val="00E9233C"/>
    <w:rsid w:val="00E92727"/>
    <w:rsid w:val="00E92979"/>
    <w:rsid w:val="00E92C15"/>
    <w:rsid w:val="00E92E50"/>
    <w:rsid w:val="00E93450"/>
    <w:rsid w:val="00E9389D"/>
    <w:rsid w:val="00E93E43"/>
    <w:rsid w:val="00E93F32"/>
    <w:rsid w:val="00E94212"/>
    <w:rsid w:val="00E95051"/>
    <w:rsid w:val="00E95330"/>
    <w:rsid w:val="00E953A8"/>
    <w:rsid w:val="00E96E01"/>
    <w:rsid w:val="00E973CF"/>
    <w:rsid w:val="00E973D4"/>
    <w:rsid w:val="00EA00F6"/>
    <w:rsid w:val="00EA0B63"/>
    <w:rsid w:val="00EA0CB9"/>
    <w:rsid w:val="00EA0E6B"/>
    <w:rsid w:val="00EA11A3"/>
    <w:rsid w:val="00EA11C6"/>
    <w:rsid w:val="00EA163B"/>
    <w:rsid w:val="00EA1E2F"/>
    <w:rsid w:val="00EA30EE"/>
    <w:rsid w:val="00EA3815"/>
    <w:rsid w:val="00EA491D"/>
    <w:rsid w:val="00EA4E4A"/>
    <w:rsid w:val="00EA5063"/>
    <w:rsid w:val="00EA53B3"/>
    <w:rsid w:val="00EA5763"/>
    <w:rsid w:val="00EA5F8F"/>
    <w:rsid w:val="00EA6344"/>
    <w:rsid w:val="00EA63A4"/>
    <w:rsid w:val="00EA6FD5"/>
    <w:rsid w:val="00EA72D5"/>
    <w:rsid w:val="00EA7BCA"/>
    <w:rsid w:val="00EA7C19"/>
    <w:rsid w:val="00EB0514"/>
    <w:rsid w:val="00EB07EB"/>
    <w:rsid w:val="00EB12C3"/>
    <w:rsid w:val="00EB1A30"/>
    <w:rsid w:val="00EB1ED4"/>
    <w:rsid w:val="00EB2ACD"/>
    <w:rsid w:val="00EB2C45"/>
    <w:rsid w:val="00EB2DD7"/>
    <w:rsid w:val="00EB388B"/>
    <w:rsid w:val="00EB3B8F"/>
    <w:rsid w:val="00EB4217"/>
    <w:rsid w:val="00EB457E"/>
    <w:rsid w:val="00EB45CC"/>
    <w:rsid w:val="00EB496E"/>
    <w:rsid w:val="00EB49DF"/>
    <w:rsid w:val="00EB5EA1"/>
    <w:rsid w:val="00EB74D7"/>
    <w:rsid w:val="00EB780F"/>
    <w:rsid w:val="00EB79BA"/>
    <w:rsid w:val="00EB7AA1"/>
    <w:rsid w:val="00EB7C34"/>
    <w:rsid w:val="00EC05A7"/>
    <w:rsid w:val="00EC0DF7"/>
    <w:rsid w:val="00EC1390"/>
    <w:rsid w:val="00EC19F0"/>
    <w:rsid w:val="00EC2413"/>
    <w:rsid w:val="00EC2CAB"/>
    <w:rsid w:val="00EC34D2"/>
    <w:rsid w:val="00EC3677"/>
    <w:rsid w:val="00EC3678"/>
    <w:rsid w:val="00EC4057"/>
    <w:rsid w:val="00EC50B8"/>
    <w:rsid w:val="00EC537D"/>
    <w:rsid w:val="00EC5AD1"/>
    <w:rsid w:val="00EC6C1C"/>
    <w:rsid w:val="00EC6EDA"/>
    <w:rsid w:val="00EC701F"/>
    <w:rsid w:val="00ED0A72"/>
    <w:rsid w:val="00ED0DCE"/>
    <w:rsid w:val="00ED1413"/>
    <w:rsid w:val="00ED15EE"/>
    <w:rsid w:val="00ED2A51"/>
    <w:rsid w:val="00ED2ACE"/>
    <w:rsid w:val="00ED2F6E"/>
    <w:rsid w:val="00ED4195"/>
    <w:rsid w:val="00ED4839"/>
    <w:rsid w:val="00ED531B"/>
    <w:rsid w:val="00ED5485"/>
    <w:rsid w:val="00ED54A7"/>
    <w:rsid w:val="00ED5617"/>
    <w:rsid w:val="00ED56BE"/>
    <w:rsid w:val="00ED59AA"/>
    <w:rsid w:val="00ED60A0"/>
    <w:rsid w:val="00ED6C82"/>
    <w:rsid w:val="00ED7028"/>
    <w:rsid w:val="00ED7AF0"/>
    <w:rsid w:val="00ED7EA2"/>
    <w:rsid w:val="00EE04DA"/>
    <w:rsid w:val="00EE0AAF"/>
    <w:rsid w:val="00EE0B65"/>
    <w:rsid w:val="00EE104F"/>
    <w:rsid w:val="00EE1343"/>
    <w:rsid w:val="00EE28DF"/>
    <w:rsid w:val="00EE2BCE"/>
    <w:rsid w:val="00EE2CCA"/>
    <w:rsid w:val="00EE3C55"/>
    <w:rsid w:val="00EE3C73"/>
    <w:rsid w:val="00EE43E6"/>
    <w:rsid w:val="00EE4633"/>
    <w:rsid w:val="00EE4B67"/>
    <w:rsid w:val="00EE4C34"/>
    <w:rsid w:val="00EE4DF2"/>
    <w:rsid w:val="00EE502F"/>
    <w:rsid w:val="00EE550F"/>
    <w:rsid w:val="00EE63B9"/>
    <w:rsid w:val="00EE6922"/>
    <w:rsid w:val="00EE7592"/>
    <w:rsid w:val="00EE7F0D"/>
    <w:rsid w:val="00EE7FD2"/>
    <w:rsid w:val="00EF0387"/>
    <w:rsid w:val="00EF0471"/>
    <w:rsid w:val="00EF1211"/>
    <w:rsid w:val="00EF209E"/>
    <w:rsid w:val="00EF25DA"/>
    <w:rsid w:val="00EF338E"/>
    <w:rsid w:val="00EF370D"/>
    <w:rsid w:val="00EF382E"/>
    <w:rsid w:val="00EF413E"/>
    <w:rsid w:val="00EF4591"/>
    <w:rsid w:val="00EF473A"/>
    <w:rsid w:val="00EF4CD8"/>
    <w:rsid w:val="00EF4D0D"/>
    <w:rsid w:val="00EF55B3"/>
    <w:rsid w:val="00EF57E8"/>
    <w:rsid w:val="00EF5920"/>
    <w:rsid w:val="00EF7814"/>
    <w:rsid w:val="00F00817"/>
    <w:rsid w:val="00F0098F"/>
    <w:rsid w:val="00F04D78"/>
    <w:rsid w:val="00F04F54"/>
    <w:rsid w:val="00F05206"/>
    <w:rsid w:val="00F05674"/>
    <w:rsid w:val="00F0573A"/>
    <w:rsid w:val="00F05B16"/>
    <w:rsid w:val="00F05DBD"/>
    <w:rsid w:val="00F072BF"/>
    <w:rsid w:val="00F07351"/>
    <w:rsid w:val="00F077A5"/>
    <w:rsid w:val="00F07FFE"/>
    <w:rsid w:val="00F10086"/>
    <w:rsid w:val="00F10310"/>
    <w:rsid w:val="00F10A89"/>
    <w:rsid w:val="00F10B7A"/>
    <w:rsid w:val="00F10FCE"/>
    <w:rsid w:val="00F11108"/>
    <w:rsid w:val="00F11CC5"/>
    <w:rsid w:val="00F12013"/>
    <w:rsid w:val="00F12116"/>
    <w:rsid w:val="00F13F89"/>
    <w:rsid w:val="00F1419D"/>
    <w:rsid w:val="00F14627"/>
    <w:rsid w:val="00F15215"/>
    <w:rsid w:val="00F15461"/>
    <w:rsid w:val="00F15883"/>
    <w:rsid w:val="00F16C4E"/>
    <w:rsid w:val="00F17A3A"/>
    <w:rsid w:val="00F17B5A"/>
    <w:rsid w:val="00F17E97"/>
    <w:rsid w:val="00F20844"/>
    <w:rsid w:val="00F20DDD"/>
    <w:rsid w:val="00F20E10"/>
    <w:rsid w:val="00F2147F"/>
    <w:rsid w:val="00F21B4B"/>
    <w:rsid w:val="00F23750"/>
    <w:rsid w:val="00F23C2A"/>
    <w:rsid w:val="00F24535"/>
    <w:rsid w:val="00F251AE"/>
    <w:rsid w:val="00F25496"/>
    <w:rsid w:val="00F260C2"/>
    <w:rsid w:val="00F261F0"/>
    <w:rsid w:val="00F2656D"/>
    <w:rsid w:val="00F2662A"/>
    <w:rsid w:val="00F26935"/>
    <w:rsid w:val="00F27877"/>
    <w:rsid w:val="00F303BF"/>
    <w:rsid w:val="00F30659"/>
    <w:rsid w:val="00F31471"/>
    <w:rsid w:val="00F314DB"/>
    <w:rsid w:val="00F31B52"/>
    <w:rsid w:val="00F3221D"/>
    <w:rsid w:val="00F32308"/>
    <w:rsid w:val="00F32876"/>
    <w:rsid w:val="00F3295B"/>
    <w:rsid w:val="00F332D5"/>
    <w:rsid w:val="00F335F9"/>
    <w:rsid w:val="00F339CB"/>
    <w:rsid w:val="00F34073"/>
    <w:rsid w:val="00F352A2"/>
    <w:rsid w:val="00F353DA"/>
    <w:rsid w:val="00F35622"/>
    <w:rsid w:val="00F35741"/>
    <w:rsid w:val="00F371EC"/>
    <w:rsid w:val="00F37AFA"/>
    <w:rsid w:val="00F4033F"/>
    <w:rsid w:val="00F41F33"/>
    <w:rsid w:val="00F42CB3"/>
    <w:rsid w:val="00F42EC2"/>
    <w:rsid w:val="00F42EF7"/>
    <w:rsid w:val="00F42EFD"/>
    <w:rsid w:val="00F4309F"/>
    <w:rsid w:val="00F43235"/>
    <w:rsid w:val="00F43B6E"/>
    <w:rsid w:val="00F43BBE"/>
    <w:rsid w:val="00F44586"/>
    <w:rsid w:val="00F44A91"/>
    <w:rsid w:val="00F4526B"/>
    <w:rsid w:val="00F459A6"/>
    <w:rsid w:val="00F45B2D"/>
    <w:rsid w:val="00F45E4C"/>
    <w:rsid w:val="00F4638D"/>
    <w:rsid w:val="00F46A60"/>
    <w:rsid w:val="00F46B58"/>
    <w:rsid w:val="00F46BED"/>
    <w:rsid w:val="00F4751A"/>
    <w:rsid w:val="00F47FDD"/>
    <w:rsid w:val="00F506DE"/>
    <w:rsid w:val="00F508B5"/>
    <w:rsid w:val="00F51541"/>
    <w:rsid w:val="00F52335"/>
    <w:rsid w:val="00F526F2"/>
    <w:rsid w:val="00F52CDF"/>
    <w:rsid w:val="00F533D3"/>
    <w:rsid w:val="00F53443"/>
    <w:rsid w:val="00F53A5E"/>
    <w:rsid w:val="00F53CB7"/>
    <w:rsid w:val="00F53F6F"/>
    <w:rsid w:val="00F541A9"/>
    <w:rsid w:val="00F541EC"/>
    <w:rsid w:val="00F549F3"/>
    <w:rsid w:val="00F54A45"/>
    <w:rsid w:val="00F54B8B"/>
    <w:rsid w:val="00F554CF"/>
    <w:rsid w:val="00F5580A"/>
    <w:rsid w:val="00F56C68"/>
    <w:rsid w:val="00F5717D"/>
    <w:rsid w:val="00F571BB"/>
    <w:rsid w:val="00F57326"/>
    <w:rsid w:val="00F608C4"/>
    <w:rsid w:val="00F60B19"/>
    <w:rsid w:val="00F60D7B"/>
    <w:rsid w:val="00F613C2"/>
    <w:rsid w:val="00F619D6"/>
    <w:rsid w:val="00F622E4"/>
    <w:rsid w:val="00F631CE"/>
    <w:rsid w:val="00F63280"/>
    <w:rsid w:val="00F6380D"/>
    <w:rsid w:val="00F638C9"/>
    <w:rsid w:val="00F65A00"/>
    <w:rsid w:val="00F65FCB"/>
    <w:rsid w:val="00F6610C"/>
    <w:rsid w:val="00F6697C"/>
    <w:rsid w:val="00F66E06"/>
    <w:rsid w:val="00F6715D"/>
    <w:rsid w:val="00F67943"/>
    <w:rsid w:val="00F7011C"/>
    <w:rsid w:val="00F7013B"/>
    <w:rsid w:val="00F70D4C"/>
    <w:rsid w:val="00F71127"/>
    <w:rsid w:val="00F719CC"/>
    <w:rsid w:val="00F71F09"/>
    <w:rsid w:val="00F722BB"/>
    <w:rsid w:val="00F72DE8"/>
    <w:rsid w:val="00F7329E"/>
    <w:rsid w:val="00F732F9"/>
    <w:rsid w:val="00F736BF"/>
    <w:rsid w:val="00F744F5"/>
    <w:rsid w:val="00F7459F"/>
    <w:rsid w:val="00F74BE6"/>
    <w:rsid w:val="00F74C83"/>
    <w:rsid w:val="00F74F64"/>
    <w:rsid w:val="00F75334"/>
    <w:rsid w:val="00F759C4"/>
    <w:rsid w:val="00F75D8B"/>
    <w:rsid w:val="00F76385"/>
    <w:rsid w:val="00F767E7"/>
    <w:rsid w:val="00F76C18"/>
    <w:rsid w:val="00F7764B"/>
    <w:rsid w:val="00F77F5A"/>
    <w:rsid w:val="00F80819"/>
    <w:rsid w:val="00F80B81"/>
    <w:rsid w:val="00F80FDF"/>
    <w:rsid w:val="00F811E9"/>
    <w:rsid w:val="00F81ACC"/>
    <w:rsid w:val="00F81C5A"/>
    <w:rsid w:val="00F81F9D"/>
    <w:rsid w:val="00F82D1F"/>
    <w:rsid w:val="00F82EDE"/>
    <w:rsid w:val="00F83146"/>
    <w:rsid w:val="00F83266"/>
    <w:rsid w:val="00F839C5"/>
    <w:rsid w:val="00F842E4"/>
    <w:rsid w:val="00F84E98"/>
    <w:rsid w:val="00F85175"/>
    <w:rsid w:val="00F852DA"/>
    <w:rsid w:val="00F86AAA"/>
    <w:rsid w:val="00F86E9A"/>
    <w:rsid w:val="00F876D0"/>
    <w:rsid w:val="00F87AF8"/>
    <w:rsid w:val="00F90356"/>
    <w:rsid w:val="00F909A6"/>
    <w:rsid w:val="00F90E22"/>
    <w:rsid w:val="00F914E4"/>
    <w:rsid w:val="00F92032"/>
    <w:rsid w:val="00F93291"/>
    <w:rsid w:val="00F93433"/>
    <w:rsid w:val="00F93595"/>
    <w:rsid w:val="00F93ADD"/>
    <w:rsid w:val="00F94523"/>
    <w:rsid w:val="00F946A3"/>
    <w:rsid w:val="00F94D81"/>
    <w:rsid w:val="00F95A3F"/>
    <w:rsid w:val="00F95B24"/>
    <w:rsid w:val="00F95E32"/>
    <w:rsid w:val="00F96731"/>
    <w:rsid w:val="00F968B7"/>
    <w:rsid w:val="00F969F3"/>
    <w:rsid w:val="00F96A48"/>
    <w:rsid w:val="00F96F07"/>
    <w:rsid w:val="00F96FA6"/>
    <w:rsid w:val="00F9708C"/>
    <w:rsid w:val="00F9734D"/>
    <w:rsid w:val="00F978D7"/>
    <w:rsid w:val="00FA105B"/>
    <w:rsid w:val="00FA19D8"/>
    <w:rsid w:val="00FA1C69"/>
    <w:rsid w:val="00FA2073"/>
    <w:rsid w:val="00FA216D"/>
    <w:rsid w:val="00FA29D5"/>
    <w:rsid w:val="00FA2CC4"/>
    <w:rsid w:val="00FA34D0"/>
    <w:rsid w:val="00FA3B25"/>
    <w:rsid w:val="00FA420A"/>
    <w:rsid w:val="00FA448B"/>
    <w:rsid w:val="00FA4583"/>
    <w:rsid w:val="00FA46A3"/>
    <w:rsid w:val="00FA4E19"/>
    <w:rsid w:val="00FA4E2D"/>
    <w:rsid w:val="00FA4F61"/>
    <w:rsid w:val="00FA5051"/>
    <w:rsid w:val="00FA51B8"/>
    <w:rsid w:val="00FA5C16"/>
    <w:rsid w:val="00FA632E"/>
    <w:rsid w:val="00FA63C3"/>
    <w:rsid w:val="00FA676D"/>
    <w:rsid w:val="00FA6C47"/>
    <w:rsid w:val="00FA7209"/>
    <w:rsid w:val="00FA7B26"/>
    <w:rsid w:val="00FA7F85"/>
    <w:rsid w:val="00FB0538"/>
    <w:rsid w:val="00FB06A6"/>
    <w:rsid w:val="00FB071D"/>
    <w:rsid w:val="00FB0B4F"/>
    <w:rsid w:val="00FB13C7"/>
    <w:rsid w:val="00FB1F99"/>
    <w:rsid w:val="00FB2742"/>
    <w:rsid w:val="00FB2BA7"/>
    <w:rsid w:val="00FB2CDB"/>
    <w:rsid w:val="00FB2D3E"/>
    <w:rsid w:val="00FB30AF"/>
    <w:rsid w:val="00FB379A"/>
    <w:rsid w:val="00FB3D8D"/>
    <w:rsid w:val="00FB3EAD"/>
    <w:rsid w:val="00FB438A"/>
    <w:rsid w:val="00FB481F"/>
    <w:rsid w:val="00FB502F"/>
    <w:rsid w:val="00FB53D9"/>
    <w:rsid w:val="00FB546B"/>
    <w:rsid w:val="00FB55BC"/>
    <w:rsid w:val="00FB5FE0"/>
    <w:rsid w:val="00FB61B4"/>
    <w:rsid w:val="00FB6C19"/>
    <w:rsid w:val="00FB72E2"/>
    <w:rsid w:val="00FB74EF"/>
    <w:rsid w:val="00FB7834"/>
    <w:rsid w:val="00FB7FFA"/>
    <w:rsid w:val="00FC0778"/>
    <w:rsid w:val="00FC0986"/>
    <w:rsid w:val="00FC1FB5"/>
    <w:rsid w:val="00FC218F"/>
    <w:rsid w:val="00FC2E3E"/>
    <w:rsid w:val="00FC3364"/>
    <w:rsid w:val="00FC345C"/>
    <w:rsid w:val="00FC36FC"/>
    <w:rsid w:val="00FC3B7C"/>
    <w:rsid w:val="00FC45F3"/>
    <w:rsid w:val="00FC4761"/>
    <w:rsid w:val="00FC4E1B"/>
    <w:rsid w:val="00FC4FA9"/>
    <w:rsid w:val="00FC5172"/>
    <w:rsid w:val="00FC5751"/>
    <w:rsid w:val="00FC639E"/>
    <w:rsid w:val="00FC655A"/>
    <w:rsid w:val="00FC6EEB"/>
    <w:rsid w:val="00FC712B"/>
    <w:rsid w:val="00FC786E"/>
    <w:rsid w:val="00FD0015"/>
    <w:rsid w:val="00FD01F6"/>
    <w:rsid w:val="00FD1306"/>
    <w:rsid w:val="00FD1711"/>
    <w:rsid w:val="00FD1950"/>
    <w:rsid w:val="00FD19F0"/>
    <w:rsid w:val="00FD1A95"/>
    <w:rsid w:val="00FD1CDC"/>
    <w:rsid w:val="00FD1EA0"/>
    <w:rsid w:val="00FD2C63"/>
    <w:rsid w:val="00FD2E4C"/>
    <w:rsid w:val="00FD2E81"/>
    <w:rsid w:val="00FD380D"/>
    <w:rsid w:val="00FD39FD"/>
    <w:rsid w:val="00FD3B9D"/>
    <w:rsid w:val="00FD4DCB"/>
    <w:rsid w:val="00FD6394"/>
    <w:rsid w:val="00FD644D"/>
    <w:rsid w:val="00FD67F9"/>
    <w:rsid w:val="00FD6C4B"/>
    <w:rsid w:val="00FD6DDF"/>
    <w:rsid w:val="00FD716D"/>
    <w:rsid w:val="00FD7356"/>
    <w:rsid w:val="00FD73BC"/>
    <w:rsid w:val="00FD7682"/>
    <w:rsid w:val="00FD78E0"/>
    <w:rsid w:val="00FD7D4C"/>
    <w:rsid w:val="00FE0044"/>
    <w:rsid w:val="00FE00F0"/>
    <w:rsid w:val="00FE013A"/>
    <w:rsid w:val="00FE0144"/>
    <w:rsid w:val="00FE0EF6"/>
    <w:rsid w:val="00FE1385"/>
    <w:rsid w:val="00FE139F"/>
    <w:rsid w:val="00FE1984"/>
    <w:rsid w:val="00FE1DB6"/>
    <w:rsid w:val="00FE2823"/>
    <w:rsid w:val="00FE2834"/>
    <w:rsid w:val="00FE2969"/>
    <w:rsid w:val="00FE2DF4"/>
    <w:rsid w:val="00FE34F5"/>
    <w:rsid w:val="00FE3972"/>
    <w:rsid w:val="00FE3978"/>
    <w:rsid w:val="00FE39BF"/>
    <w:rsid w:val="00FE3A96"/>
    <w:rsid w:val="00FE4D21"/>
    <w:rsid w:val="00FE562A"/>
    <w:rsid w:val="00FE5BF8"/>
    <w:rsid w:val="00FE6250"/>
    <w:rsid w:val="00FE6645"/>
    <w:rsid w:val="00FE6A48"/>
    <w:rsid w:val="00FE6B81"/>
    <w:rsid w:val="00FE6C99"/>
    <w:rsid w:val="00FE7B27"/>
    <w:rsid w:val="00FF0DC8"/>
    <w:rsid w:val="00FF12F7"/>
    <w:rsid w:val="00FF21A9"/>
    <w:rsid w:val="00FF24BE"/>
    <w:rsid w:val="00FF2D5B"/>
    <w:rsid w:val="00FF2F11"/>
    <w:rsid w:val="00FF31EA"/>
    <w:rsid w:val="00FF32AC"/>
    <w:rsid w:val="00FF3328"/>
    <w:rsid w:val="00FF3ED2"/>
    <w:rsid w:val="00FF4253"/>
    <w:rsid w:val="00FF433A"/>
    <w:rsid w:val="00FF4725"/>
    <w:rsid w:val="00FF4C0E"/>
    <w:rsid w:val="00FF4F4A"/>
    <w:rsid w:val="00FF4FE1"/>
    <w:rsid w:val="00FF529F"/>
    <w:rsid w:val="00FF5508"/>
    <w:rsid w:val="00FF5810"/>
    <w:rsid w:val="00FF5940"/>
    <w:rsid w:val="00FF5A3C"/>
    <w:rsid w:val="00FF6391"/>
    <w:rsid w:val="00FF7B1D"/>
    <w:rsid w:val="00FF7D14"/>
    <w:rsid w:val="00FF7D23"/>
    <w:rsid w:val="00FF7E39"/>
    <w:rsid w:val="01002534"/>
    <w:rsid w:val="01434EAF"/>
    <w:rsid w:val="019F3CB7"/>
    <w:rsid w:val="01E92E92"/>
    <w:rsid w:val="01EA7F33"/>
    <w:rsid w:val="01FC45DD"/>
    <w:rsid w:val="02335DA9"/>
    <w:rsid w:val="024E7C57"/>
    <w:rsid w:val="0361681B"/>
    <w:rsid w:val="037053E2"/>
    <w:rsid w:val="03AB0F93"/>
    <w:rsid w:val="042E079C"/>
    <w:rsid w:val="0481720A"/>
    <w:rsid w:val="0603356B"/>
    <w:rsid w:val="06212B1B"/>
    <w:rsid w:val="065A72E2"/>
    <w:rsid w:val="06AC27FF"/>
    <w:rsid w:val="07051E94"/>
    <w:rsid w:val="07534192"/>
    <w:rsid w:val="076E6040"/>
    <w:rsid w:val="07903FF7"/>
    <w:rsid w:val="08063E01"/>
    <w:rsid w:val="08E069C6"/>
    <w:rsid w:val="0917289F"/>
    <w:rsid w:val="093A65B1"/>
    <w:rsid w:val="097035F9"/>
    <w:rsid w:val="09937F44"/>
    <w:rsid w:val="09C9338C"/>
    <w:rsid w:val="09E00043"/>
    <w:rsid w:val="0A2879CC"/>
    <w:rsid w:val="0A3E25DB"/>
    <w:rsid w:val="0A721B30"/>
    <w:rsid w:val="0A9C61F8"/>
    <w:rsid w:val="0BD41778"/>
    <w:rsid w:val="0C6841EA"/>
    <w:rsid w:val="0CB40DE6"/>
    <w:rsid w:val="0D3D15FD"/>
    <w:rsid w:val="0D410B0B"/>
    <w:rsid w:val="0D811433"/>
    <w:rsid w:val="0D8E68A8"/>
    <w:rsid w:val="0DBA2892"/>
    <w:rsid w:val="0DFF1424"/>
    <w:rsid w:val="0FAC4CDD"/>
    <w:rsid w:val="101B45FA"/>
    <w:rsid w:val="10C77FA2"/>
    <w:rsid w:val="12456209"/>
    <w:rsid w:val="12A56222"/>
    <w:rsid w:val="12ED571D"/>
    <w:rsid w:val="13272F78"/>
    <w:rsid w:val="132D2C84"/>
    <w:rsid w:val="134C5737"/>
    <w:rsid w:val="135B5578"/>
    <w:rsid w:val="14191607"/>
    <w:rsid w:val="14281C22"/>
    <w:rsid w:val="142B7323"/>
    <w:rsid w:val="14495172"/>
    <w:rsid w:val="144D0B5D"/>
    <w:rsid w:val="144D2D5B"/>
    <w:rsid w:val="14840CB7"/>
    <w:rsid w:val="14A93475"/>
    <w:rsid w:val="14C95F28"/>
    <w:rsid w:val="15460FAE"/>
    <w:rsid w:val="157F6950"/>
    <w:rsid w:val="16225260"/>
    <w:rsid w:val="16B71ED0"/>
    <w:rsid w:val="172A220F"/>
    <w:rsid w:val="174662BC"/>
    <w:rsid w:val="17C57E8F"/>
    <w:rsid w:val="17E93546"/>
    <w:rsid w:val="183E42D5"/>
    <w:rsid w:val="18517A73"/>
    <w:rsid w:val="18574F95"/>
    <w:rsid w:val="18C10EAD"/>
    <w:rsid w:val="18E55D68"/>
    <w:rsid w:val="19D011E9"/>
    <w:rsid w:val="19F03C9C"/>
    <w:rsid w:val="1A287679"/>
    <w:rsid w:val="1A4E4586"/>
    <w:rsid w:val="1A5547B1"/>
    <w:rsid w:val="1AF070C2"/>
    <w:rsid w:val="1B045DBD"/>
    <w:rsid w:val="1B0B1F15"/>
    <w:rsid w:val="1B163A7E"/>
    <w:rsid w:val="1B4D0062"/>
    <w:rsid w:val="1B5622E9"/>
    <w:rsid w:val="1BA90A6F"/>
    <w:rsid w:val="1BB73608"/>
    <w:rsid w:val="1C4B0278"/>
    <w:rsid w:val="1CD82FBC"/>
    <w:rsid w:val="1D3075F1"/>
    <w:rsid w:val="1DE37094"/>
    <w:rsid w:val="1EE07337"/>
    <w:rsid w:val="1F404DD2"/>
    <w:rsid w:val="1F4B69E7"/>
    <w:rsid w:val="1F585CFC"/>
    <w:rsid w:val="1F9C76EA"/>
    <w:rsid w:val="206A35BB"/>
    <w:rsid w:val="20D21CE6"/>
    <w:rsid w:val="218C1948"/>
    <w:rsid w:val="224D4A55"/>
    <w:rsid w:val="22DB176D"/>
    <w:rsid w:val="236D143B"/>
    <w:rsid w:val="23BC26AD"/>
    <w:rsid w:val="246953F2"/>
    <w:rsid w:val="24CE7073"/>
    <w:rsid w:val="25786E98"/>
    <w:rsid w:val="25F954DB"/>
    <w:rsid w:val="267D7CB3"/>
    <w:rsid w:val="26DE4268"/>
    <w:rsid w:val="26FB59ED"/>
    <w:rsid w:val="27133A29"/>
    <w:rsid w:val="280C3C41"/>
    <w:rsid w:val="28242865"/>
    <w:rsid w:val="285343B6"/>
    <w:rsid w:val="287B1CF7"/>
    <w:rsid w:val="28EC32AF"/>
    <w:rsid w:val="29025453"/>
    <w:rsid w:val="29090661"/>
    <w:rsid w:val="295761E2"/>
    <w:rsid w:val="29AB7E6A"/>
    <w:rsid w:val="29AF6870"/>
    <w:rsid w:val="29FA346D"/>
    <w:rsid w:val="2B3912AB"/>
    <w:rsid w:val="2B4D50F0"/>
    <w:rsid w:val="2BCC1169"/>
    <w:rsid w:val="2C175D66"/>
    <w:rsid w:val="2C594250"/>
    <w:rsid w:val="2CD36B98"/>
    <w:rsid w:val="2E4814FD"/>
    <w:rsid w:val="2F423F70"/>
    <w:rsid w:val="2FA76EBB"/>
    <w:rsid w:val="2FF005B4"/>
    <w:rsid w:val="3001117F"/>
    <w:rsid w:val="30E6539E"/>
    <w:rsid w:val="31416AE1"/>
    <w:rsid w:val="31A124F9"/>
    <w:rsid w:val="31F82F08"/>
    <w:rsid w:val="32316565"/>
    <w:rsid w:val="33980436"/>
    <w:rsid w:val="33EE55C1"/>
    <w:rsid w:val="34413D46"/>
    <w:rsid w:val="34856DB9"/>
    <w:rsid w:val="348608FB"/>
    <w:rsid w:val="34A672EE"/>
    <w:rsid w:val="34CA6229"/>
    <w:rsid w:val="34CB7C00"/>
    <w:rsid w:val="35347E57"/>
    <w:rsid w:val="35A72DF9"/>
    <w:rsid w:val="35D30C5A"/>
    <w:rsid w:val="35F55D16"/>
    <w:rsid w:val="36306DF5"/>
    <w:rsid w:val="36720101"/>
    <w:rsid w:val="36C57D2D"/>
    <w:rsid w:val="36F942BF"/>
    <w:rsid w:val="3709724C"/>
    <w:rsid w:val="37874E28"/>
    <w:rsid w:val="37A52BC8"/>
    <w:rsid w:val="37D97B44"/>
    <w:rsid w:val="37EF3809"/>
    <w:rsid w:val="38B46B5F"/>
    <w:rsid w:val="3A5D4951"/>
    <w:rsid w:val="3A8908F5"/>
    <w:rsid w:val="3B5F28BE"/>
    <w:rsid w:val="3BFF0FEE"/>
    <w:rsid w:val="3C8619D8"/>
    <w:rsid w:val="3D8418FA"/>
    <w:rsid w:val="3E0F3843"/>
    <w:rsid w:val="3F1F754D"/>
    <w:rsid w:val="3F3E79D2"/>
    <w:rsid w:val="3F815EBD"/>
    <w:rsid w:val="41A9692E"/>
    <w:rsid w:val="41E1407E"/>
    <w:rsid w:val="420B5567"/>
    <w:rsid w:val="42494BEA"/>
    <w:rsid w:val="42BE369B"/>
    <w:rsid w:val="446A634B"/>
    <w:rsid w:val="446B4724"/>
    <w:rsid w:val="457F5E93"/>
    <w:rsid w:val="462D72B0"/>
    <w:rsid w:val="467E5DB6"/>
    <w:rsid w:val="471247EC"/>
    <w:rsid w:val="47220AC2"/>
    <w:rsid w:val="472B3950"/>
    <w:rsid w:val="474838EC"/>
    <w:rsid w:val="474A0210"/>
    <w:rsid w:val="48297FEF"/>
    <w:rsid w:val="492E3A5C"/>
    <w:rsid w:val="494B46A7"/>
    <w:rsid w:val="494C26D0"/>
    <w:rsid w:val="4984282A"/>
    <w:rsid w:val="4A18529C"/>
    <w:rsid w:val="4B1E25CC"/>
    <w:rsid w:val="4C6E5771"/>
    <w:rsid w:val="4D463256"/>
    <w:rsid w:val="4DC3281F"/>
    <w:rsid w:val="4DC65DC3"/>
    <w:rsid w:val="4E4A17FE"/>
    <w:rsid w:val="4EBF723F"/>
    <w:rsid w:val="4F211862"/>
    <w:rsid w:val="4F531CB1"/>
    <w:rsid w:val="4FD95089"/>
    <w:rsid w:val="501E0480"/>
    <w:rsid w:val="506D78DC"/>
    <w:rsid w:val="511E0888"/>
    <w:rsid w:val="517F6DC2"/>
    <w:rsid w:val="51ED2C7A"/>
    <w:rsid w:val="51F04ACF"/>
    <w:rsid w:val="5203159A"/>
    <w:rsid w:val="52210B4A"/>
    <w:rsid w:val="5223404D"/>
    <w:rsid w:val="52886EC7"/>
    <w:rsid w:val="52E75090"/>
    <w:rsid w:val="52FD5035"/>
    <w:rsid w:val="532B4880"/>
    <w:rsid w:val="53490CBB"/>
    <w:rsid w:val="536F1AF1"/>
    <w:rsid w:val="53844015"/>
    <w:rsid w:val="538E6B22"/>
    <w:rsid w:val="538F23A6"/>
    <w:rsid w:val="53BD3DEE"/>
    <w:rsid w:val="53CB184D"/>
    <w:rsid w:val="54194508"/>
    <w:rsid w:val="557B5701"/>
    <w:rsid w:val="55BD1336"/>
    <w:rsid w:val="56C20FE6"/>
    <w:rsid w:val="56FE2FC7"/>
    <w:rsid w:val="574E650C"/>
    <w:rsid w:val="57E83E4C"/>
    <w:rsid w:val="580A21FF"/>
    <w:rsid w:val="581E0EA0"/>
    <w:rsid w:val="58D760D0"/>
    <w:rsid w:val="59253C51"/>
    <w:rsid w:val="598A13F7"/>
    <w:rsid w:val="59BD50C9"/>
    <w:rsid w:val="5A50702C"/>
    <w:rsid w:val="5A567846"/>
    <w:rsid w:val="5AD42692"/>
    <w:rsid w:val="5AF9704F"/>
    <w:rsid w:val="5B27469B"/>
    <w:rsid w:val="5B392006"/>
    <w:rsid w:val="5B432946"/>
    <w:rsid w:val="5BFC33FA"/>
    <w:rsid w:val="5C2812C1"/>
    <w:rsid w:val="5CEE2982"/>
    <w:rsid w:val="5DF66A37"/>
    <w:rsid w:val="5F4C298D"/>
    <w:rsid w:val="5FBA669E"/>
    <w:rsid w:val="5FD35C02"/>
    <w:rsid w:val="608102DF"/>
    <w:rsid w:val="61146955"/>
    <w:rsid w:val="61235E95"/>
    <w:rsid w:val="6131222A"/>
    <w:rsid w:val="61AE7A4D"/>
    <w:rsid w:val="61C37986"/>
    <w:rsid w:val="627B391D"/>
    <w:rsid w:val="628E7E66"/>
    <w:rsid w:val="62CC5CA6"/>
    <w:rsid w:val="634E16F7"/>
    <w:rsid w:val="636F0D32"/>
    <w:rsid w:val="63B944D1"/>
    <w:rsid w:val="63D0424F"/>
    <w:rsid w:val="644B0F21"/>
    <w:rsid w:val="647F70D5"/>
    <w:rsid w:val="64B16E8D"/>
    <w:rsid w:val="64B707A5"/>
    <w:rsid w:val="64C81BA3"/>
    <w:rsid w:val="656D4F75"/>
    <w:rsid w:val="65CE1B16"/>
    <w:rsid w:val="660179E7"/>
    <w:rsid w:val="663558AE"/>
    <w:rsid w:val="66651C8A"/>
    <w:rsid w:val="666F001B"/>
    <w:rsid w:val="66A55887"/>
    <w:rsid w:val="66BD399D"/>
    <w:rsid w:val="66EF5667"/>
    <w:rsid w:val="66F40D3F"/>
    <w:rsid w:val="6710028F"/>
    <w:rsid w:val="67433876"/>
    <w:rsid w:val="67673E36"/>
    <w:rsid w:val="67B003AF"/>
    <w:rsid w:val="6904530A"/>
    <w:rsid w:val="691724F7"/>
    <w:rsid w:val="6A0C577D"/>
    <w:rsid w:val="6A406AE2"/>
    <w:rsid w:val="6A53227F"/>
    <w:rsid w:val="6A713A2E"/>
    <w:rsid w:val="6ABB3509"/>
    <w:rsid w:val="6AD97F5A"/>
    <w:rsid w:val="6B093F5A"/>
    <w:rsid w:val="6BA7691D"/>
    <w:rsid w:val="6BDE1A06"/>
    <w:rsid w:val="6C5E57D7"/>
    <w:rsid w:val="6CAA5C57"/>
    <w:rsid w:val="6CC8350E"/>
    <w:rsid w:val="6D947228"/>
    <w:rsid w:val="6DC960AE"/>
    <w:rsid w:val="6DF25BEE"/>
    <w:rsid w:val="6E002985"/>
    <w:rsid w:val="6E426C72"/>
    <w:rsid w:val="6E460EFB"/>
    <w:rsid w:val="6EA9791B"/>
    <w:rsid w:val="6ED751B3"/>
    <w:rsid w:val="6F165DB5"/>
    <w:rsid w:val="6F7B5A75"/>
    <w:rsid w:val="6FE37B11"/>
    <w:rsid w:val="70581BE0"/>
    <w:rsid w:val="70CC4ABD"/>
    <w:rsid w:val="70ED0BDF"/>
    <w:rsid w:val="71A5076E"/>
    <w:rsid w:val="71BC14A7"/>
    <w:rsid w:val="720F34AF"/>
    <w:rsid w:val="73F94C97"/>
    <w:rsid w:val="740D54F4"/>
    <w:rsid w:val="74BC6591"/>
    <w:rsid w:val="74E651D7"/>
    <w:rsid w:val="75571BDC"/>
    <w:rsid w:val="764D5A23"/>
    <w:rsid w:val="76943C19"/>
    <w:rsid w:val="769F27A5"/>
    <w:rsid w:val="76F36FE3"/>
    <w:rsid w:val="77CC7198"/>
    <w:rsid w:val="78715001"/>
    <w:rsid w:val="78A806DF"/>
    <w:rsid w:val="7951722A"/>
    <w:rsid w:val="7955121E"/>
    <w:rsid w:val="79921083"/>
    <w:rsid w:val="79936B04"/>
    <w:rsid w:val="799A6E0D"/>
    <w:rsid w:val="7A092A03"/>
    <w:rsid w:val="7A3B7E01"/>
    <w:rsid w:val="7A550DC0"/>
    <w:rsid w:val="7ABC786B"/>
    <w:rsid w:val="7AF92DCA"/>
    <w:rsid w:val="7CE56AB5"/>
    <w:rsid w:val="7CF7391D"/>
    <w:rsid w:val="7E8B17AA"/>
    <w:rsid w:val="7F055BF1"/>
    <w:rsid w:val="7F252BD2"/>
    <w:rsid w:val="7F7D23B8"/>
    <w:rsid w:val="7F830A1B"/>
    <w:rsid w:val="7FBA441B"/>
    <w:rsid w:val="7FE355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99"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heme="minorBidi"/>
      <w:kern w:val="2"/>
      <w:sz w:val="21"/>
      <w:szCs w:val="21"/>
      <w:lang w:val="en-US" w:eastAsia="zh-CN" w:bidi="ar-SA"/>
    </w:rPr>
  </w:style>
  <w:style w:type="paragraph" w:styleId="2">
    <w:name w:val="heading 1"/>
    <w:basedOn w:val="1"/>
    <w:next w:val="1"/>
    <w:link w:val="50"/>
    <w:qFormat/>
    <w:uiPriority w:val="0"/>
    <w:pPr>
      <w:keepNext/>
      <w:keepLines/>
      <w:spacing w:before="50" w:beforeLines="50" w:after="50" w:afterLines="50" w:line="330" w:lineRule="exact"/>
      <w:outlineLvl w:val="0"/>
    </w:pPr>
    <w:rPr>
      <w:rFonts w:eastAsia="黑体"/>
      <w:b/>
      <w:bCs/>
      <w:kern w:val="44"/>
      <w:szCs w:val="44"/>
    </w:rPr>
  </w:style>
  <w:style w:type="paragraph" w:styleId="3">
    <w:name w:val="heading 2"/>
    <w:basedOn w:val="1"/>
    <w:next w:val="4"/>
    <w:link w:val="51"/>
    <w:autoRedefine/>
    <w:qFormat/>
    <w:uiPriority w:val="0"/>
    <w:pPr>
      <w:keepNext/>
      <w:keepLines/>
      <w:spacing w:before="100" w:after="100" w:line="330" w:lineRule="exact"/>
      <w:outlineLvl w:val="1"/>
    </w:pPr>
    <w:rPr>
      <w:rFonts w:ascii="Arial" w:hAnsi="Arial" w:eastAsia="黑体"/>
      <w:b/>
      <w:bCs/>
      <w:szCs w:val="32"/>
    </w:rPr>
  </w:style>
  <w:style w:type="paragraph" w:styleId="5">
    <w:name w:val="heading 3"/>
    <w:basedOn w:val="1"/>
    <w:next w:val="1"/>
    <w:link w:val="87"/>
    <w:autoRedefine/>
    <w:unhideWhenUsed/>
    <w:qFormat/>
    <w:uiPriority w:val="9"/>
    <w:pPr>
      <w:keepNext/>
      <w:keepLines/>
      <w:spacing w:before="100" w:after="100" w:line="360" w:lineRule="auto"/>
      <w:outlineLvl w:val="2"/>
    </w:pPr>
    <w:rPr>
      <w:rFonts w:eastAsia="黑体"/>
      <w:bCs/>
      <w:szCs w:val="32"/>
    </w:rPr>
  </w:style>
  <w:style w:type="character" w:default="1" w:styleId="33">
    <w:name w:val="Default Paragraph Font"/>
    <w:autoRedefine/>
    <w:semiHidden/>
    <w:unhideWhenUsed/>
    <w:qFormat/>
    <w:uiPriority w:val="1"/>
  </w:style>
  <w:style w:type="table" w:default="1" w:styleId="31">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semiHidden/>
    <w:unhideWhenUsed/>
    <w:qFormat/>
    <w:uiPriority w:val="99"/>
    <w:pPr>
      <w:ind w:firstLine="420" w:firstLineChars="200"/>
    </w:pPr>
  </w:style>
  <w:style w:type="paragraph" w:styleId="6">
    <w:name w:val="toc 7"/>
    <w:basedOn w:val="1"/>
    <w:next w:val="1"/>
    <w:autoRedefine/>
    <w:qFormat/>
    <w:uiPriority w:val="39"/>
    <w:pPr>
      <w:ind w:left="1260"/>
      <w:jc w:val="left"/>
    </w:pPr>
    <w:rPr>
      <w:rFonts w:cstheme="minorHAnsi"/>
      <w:sz w:val="18"/>
      <w:szCs w:val="18"/>
    </w:rPr>
  </w:style>
  <w:style w:type="paragraph" w:styleId="7">
    <w:name w:val="List Bullet"/>
    <w:basedOn w:val="1"/>
    <w:autoRedefine/>
    <w:qFormat/>
    <w:uiPriority w:val="0"/>
    <w:pPr>
      <w:numPr>
        <w:ilvl w:val="0"/>
        <w:numId w:val="1"/>
      </w:numPr>
    </w:pPr>
  </w:style>
  <w:style w:type="paragraph" w:styleId="8">
    <w:name w:val="annotation text"/>
    <w:basedOn w:val="1"/>
    <w:link w:val="79"/>
    <w:autoRedefine/>
    <w:qFormat/>
    <w:uiPriority w:val="99"/>
    <w:pPr>
      <w:jc w:val="left"/>
    </w:pPr>
  </w:style>
  <w:style w:type="paragraph" w:styleId="9">
    <w:name w:val="Body Text 3"/>
    <w:basedOn w:val="1"/>
    <w:link w:val="64"/>
    <w:autoRedefine/>
    <w:qFormat/>
    <w:uiPriority w:val="0"/>
    <w:pPr>
      <w:spacing w:after="120"/>
    </w:pPr>
    <w:rPr>
      <w:sz w:val="16"/>
      <w:szCs w:val="16"/>
    </w:rPr>
  </w:style>
  <w:style w:type="paragraph" w:styleId="10">
    <w:name w:val="Body Text"/>
    <w:basedOn w:val="1"/>
    <w:link w:val="49"/>
    <w:autoRedefine/>
    <w:qFormat/>
    <w:uiPriority w:val="0"/>
    <w:rPr>
      <w:color w:val="FF00FF"/>
    </w:rPr>
  </w:style>
  <w:style w:type="paragraph" w:styleId="11">
    <w:name w:val="Body Text Indent"/>
    <w:basedOn w:val="1"/>
    <w:link w:val="54"/>
    <w:autoRedefine/>
    <w:qFormat/>
    <w:uiPriority w:val="0"/>
    <w:pPr>
      <w:tabs>
        <w:tab w:val="left" w:pos="240"/>
      </w:tabs>
      <w:adjustRightInd w:val="0"/>
      <w:spacing w:line="360" w:lineRule="auto"/>
      <w:ind w:left="2" w:hanging="2"/>
      <w:jc w:val="left"/>
    </w:pPr>
    <w:rPr>
      <w:rFonts w:ascii="宋体" w:hAnsi="宋体"/>
      <w:kern w:val="0"/>
      <w:sz w:val="24"/>
    </w:rPr>
  </w:style>
  <w:style w:type="paragraph" w:styleId="12">
    <w:name w:val="toc 5"/>
    <w:basedOn w:val="1"/>
    <w:next w:val="1"/>
    <w:autoRedefine/>
    <w:qFormat/>
    <w:uiPriority w:val="39"/>
    <w:pPr>
      <w:ind w:left="840"/>
      <w:jc w:val="left"/>
    </w:pPr>
    <w:rPr>
      <w:rFonts w:cstheme="minorHAnsi"/>
      <w:sz w:val="18"/>
      <w:szCs w:val="18"/>
    </w:rPr>
  </w:style>
  <w:style w:type="paragraph" w:styleId="13">
    <w:name w:val="toc 3"/>
    <w:basedOn w:val="1"/>
    <w:next w:val="1"/>
    <w:autoRedefine/>
    <w:qFormat/>
    <w:uiPriority w:val="39"/>
    <w:pPr>
      <w:tabs>
        <w:tab w:val="right" w:leader="dot" w:pos="8302"/>
      </w:tabs>
      <w:spacing w:line="312" w:lineRule="exact"/>
      <w:ind w:left="420"/>
      <w:jc w:val="left"/>
    </w:pPr>
    <w:rPr>
      <w:rFonts w:cstheme="minorHAnsi"/>
      <w:i/>
      <w:iCs/>
      <w:sz w:val="20"/>
      <w:szCs w:val="20"/>
    </w:rPr>
  </w:style>
  <w:style w:type="paragraph" w:styleId="14">
    <w:name w:val="Plain Text"/>
    <w:basedOn w:val="1"/>
    <w:link w:val="42"/>
    <w:autoRedefine/>
    <w:qFormat/>
    <w:uiPriority w:val="0"/>
    <w:rPr>
      <w:rFonts w:ascii="宋体" w:hAnsi="Courier New" w:cs="Courier New"/>
    </w:rPr>
  </w:style>
  <w:style w:type="paragraph" w:styleId="15">
    <w:name w:val="toc 8"/>
    <w:basedOn w:val="1"/>
    <w:next w:val="1"/>
    <w:autoRedefine/>
    <w:qFormat/>
    <w:uiPriority w:val="39"/>
    <w:pPr>
      <w:ind w:left="1470"/>
      <w:jc w:val="left"/>
    </w:pPr>
    <w:rPr>
      <w:rFonts w:cstheme="minorHAnsi"/>
      <w:sz w:val="18"/>
      <w:szCs w:val="18"/>
    </w:rPr>
  </w:style>
  <w:style w:type="paragraph" w:styleId="16">
    <w:name w:val="Date"/>
    <w:basedOn w:val="1"/>
    <w:next w:val="1"/>
    <w:link w:val="66"/>
    <w:autoRedefine/>
    <w:qFormat/>
    <w:uiPriority w:val="0"/>
    <w:pPr>
      <w:ind w:left="100" w:leftChars="2500"/>
    </w:pPr>
  </w:style>
  <w:style w:type="paragraph" w:styleId="17">
    <w:name w:val="Body Text Indent 2"/>
    <w:basedOn w:val="1"/>
    <w:link w:val="76"/>
    <w:autoRedefine/>
    <w:qFormat/>
    <w:uiPriority w:val="0"/>
    <w:pPr>
      <w:spacing w:after="120" w:line="480" w:lineRule="auto"/>
      <w:ind w:left="420" w:leftChars="200"/>
    </w:pPr>
  </w:style>
  <w:style w:type="paragraph" w:styleId="18">
    <w:name w:val="Balloon Text"/>
    <w:basedOn w:val="1"/>
    <w:link w:val="55"/>
    <w:autoRedefine/>
    <w:semiHidden/>
    <w:qFormat/>
    <w:uiPriority w:val="0"/>
    <w:rPr>
      <w:sz w:val="18"/>
      <w:szCs w:val="18"/>
    </w:rPr>
  </w:style>
  <w:style w:type="paragraph" w:styleId="19">
    <w:name w:val="footer"/>
    <w:basedOn w:val="1"/>
    <w:link w:val="41"/>
    <w:autoRedefine/>
    <w:unhideWhenUsed/>
    <w:qFormat/>
    <w:uiPriority w:val="99"/>
    <w:pPr>
      <w:tabs>
        <w:tab w:val="center" w:pos="4153"/>
        <w:tab w:val="right" w:pos="8306"/>
      </w:tabs>
      <w:snapToGrid w:val="0"/>
      <w:jc w:val="left"/>
    </w:pPr>
    <w:rPr>
      <w:sz w:val="18"/>
      <w:szCs w:val="18"/>
    </w:rPr>
  </w:style>
  <w:style w:type="paragraph" w:styleId="20">
    <w:name w:val="header"/>
    <w:basedOn w:val="1"/>
    <w:link w:val="40"/>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autoRedefine/>
    <w:qFormat/>
    <w:uiPriority w:val="39"/>
    <w:pPr>
      <w:spacing w:before="120" w:after="120"/>
      <w:jc w:val="left"/>
    </w:pPr>
    <w:rPr>
      <w:rFonts w:cstheme="minorHAnsi"/>
      <w:b/>
      <w:bCs/>
      <w:caps/>
      <w:sz w:val="20"/>
      <w:szCs w:val="20"/>
    </w:rPr>
  </w:style>
  <w:style w:type="paragraph" w:styleId="22">
    <w:name w:val="toc 4"/>
    <w:basedOn w:val="1"/>
    <w:next w:val="1"/>
    <w:autoRedefine/>
    <w:qFormat/>
    <w:uiPriority w:val="39"/>
    <w:pPr>
      <w:ind w:left="630"/>
      <w:jc w:val="left"/>
    </w:pPr>
    <w:rPr>
      <w:rFonts w:cstheme="minorHAnsi"/>
      <w:sz w:val="18"/>
      <w:szCs w:val="18"/>
    </w:rPr>
  </w:style>
  <w:style w:type="paragraph" w:styleId="23">
    <w:name w:val="Subtitle"/>
    <w:basedOn w:val="1"/>
    <w:next w:val="1"/>
    <w:link w:val="94"/>
    <w:autoRedefine/>
    <w:qFormat/>
    <w:uiPriority w:val="11"/>
    <w:pPr>
      <w:spacing w:before="240" w:after="60" w:line="312" w:lineRule="auto"/>
      <w:jc w:val="center"/>
      <w:outlineLvl w:val="1"/>
    </w:pPr>
    <w:rPr>
      <w:b/>
      <w:bCs/>
      <w:kern w:val="28"/>
      <w:sz w:val="32"/>
      <w:szCs w:val="32"/>
    </w:rPr>
  </w:style>
  <w:style w:type="paragraph" w:styleId="24">
    <w:name w:val="toc 6"/>
    <w:basedOn w:val="1"/>
    <w:next w:val="1"/>
    <w:autoRedefine/>
    <w:qFormat/>
    <w:uiPriority w:val="39"/>
    <w:pPr>
      <w:ind w:left="1050"/>
      <w:jc w:val="left"/>
    </w:pPr>
    <w:rPr>
      <w:rFonts w:cstheme="minorHAnsi"/>
      <w:sz w:val="18"/>
      <w:szCs w:val="18"/>
    </w:rPr>
  </w:style>
  <w:style w:type="paragraph" w:styleId="25">
    <w:name w:val="toc 2"/>
    <w:basedOn w:val="1"/>
    <w:next w:val="1"/>
    <w:autoRedefine/>
    <w:qFormat/>
    <w:uiPriority w:val="39"/>
    <w:pPr>
      <w:ind w:left="210"/>
      <w:jc w:val="left"/>
    </w:pPr>
    <w:rPr>
      <w:rFonts w:cstheme="minorHAnsi"/>
      <w:smallCaps/>
      <w:sz w:val="20"/>
      <w:szCs w:val="20"/>
    </w:rPr>
  </w:style>
  <w:style w:type="paragraph" w:styleId="26">
    <w:name w:val="toc 9"/>
    <w:basedOn w:val="1"/>
    <w:next w:val="1"/>
    <w:autoRedefine/>
    <w:qFormat/>
    <w:uiPriority w:val="39"/>
    <w:pPr>
      <w:ind w:left="1680"/>
      <w:jc w:val="left"/>
    </w:pPr>
    <w:rPr>
      <w:rFonts w:cstheme="minorHAnsi"/>
      <w:sz w:val="18"/>
      <w:szCs w:val="18"/>
    </w:rPr>
  </w:style>
  <w:style w:type="paragraph" w:styleId="27">
    <w:name w:val="Body Text 2"/>
    <w:basedOn w:val="1"/>
    <w:link w:val="74"/>
    <w:autoRedefine/>
    <w:qFormat/>
    <w:uiPriority w:val="0"/>
    <w:rPr>
      <w:strike/>
      <w:color w:val="0000FF"/>
    </w:rPr>
  </w:style>
  <w:style w:type="paragraph" w:styleId="28">
    <w:name w:val="List 4"/>
    <w:basedOn w:val="1"/>
    <w:autoRedefine/>
    <w:qFormat/>
    <w:uiPriority w:val="0"/>
    <w:pPr>
      <w:ind w:left="100" w:leftChars="600" w:hanging="200" w:hangingChars="200"/>
      <w:contextualSpacing/>
    </w:pPr>
  </w:style>
  <w:style w:type="paragraph" w:styleId="29">
    <w:name w:val="HTML Preformatted"/>
    <w:basedOn w:val="1"/>
    <w:link w:val="6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0">
    <w:name w:val="Title"/>
    <w:basedOn w:val="1"/>
    <w:next w:val="1"/>
    <w:link w:val="93"/>
    <w:autoRedefine/>
    <w:qFormat/>
    <w:uiPriority w:val="10"/>
    <w:pPr>
      <w:spacing w:before="240" w:after="60"/>
      <w:jc w:val="center"/>
      <w:outlineLvl w:val="0"/>
    </w:pPr>
    <w:rPr>
      <w:rFonts w:asciiTheme="majorHAnsi" w:hAnsiTheme="majorHAnsi" w:eastAsiaTheme="majorEastAsia" w:cstheme="majorBidi"/>
      <w:b/>
      <w:bCs/>
      <w:sz w:val="32"/>
      <w:szCs w:val="32"/>
    </w:rPr>
  </w:style>
  <w:style w:type="table" w:styleId="32">
    <w:name w:val="Table Grid"/>
    <w:basedOn w:val="3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autoRedefine/>
    <w:qFormat/>
    <w:uiPriority w:val="0"/>
    <w:rPr>
      <w:b/>
      <w:bCs/>
    </w:rPr>
  </w:style>
  <w:style w:type="character" w:styleId="35">
    <w:name w:val="page number"/>
    <w:basedOn w:val="33"/>
    <w:autoRedefine/>
    <w:qFormat/>
    <w:uiPriority w:val="0"/>
  </w:style>
  <w:style w:type="character" w:styleId="36">
    <w:name w:val="FollowedHyperlink"/>
    <w:basedOn w:val="33"/>
    <w:autoRedefine/>
    <w:qFormat/>
    <w:uiPriority w:val="0"/>
    <w:rPr>
      <w:color w:val="800080"/>
      <w:u w:val="single"/>
    </w:rPr>
  </w:style>
  <w:style w:type="character" w:styleId="37">
    <w:name w:val="Emphasis"/>
    <w:basedOn w:val="33"/>
    <w:autoRedefine/>
    <w:qFormat/>
    <w:uiPriority w:val="20"/>
    <w:rPr>
      <w:i/>
      <w:iCs/>
    </w:rPr>
  </w:style>
  <w:style w:type="character" w:styleId="38">
    <w:name w:val="Hyperlink"/>
    <w:basedOn w:val="33"/>
    <w:autoRedefine/>
    <w:qFormat/>
    <w:uiPriority w:val="99"/>
    <w:rPr>
      <w:color w:val="0000FF"/>
      <w:u w:val="single"/>
    </w:rPr>
  </w:style>
  <w:style w:type="character" w:styleId="39">
    <w:name w:val="annotation reference"/>
    <w:basedOn w:val="33"/>
    <w:autoRedefine/>
    <w:qFormat/>
    <w:uiPriority w:val="99"/>
    <w:rPr>
      <w:sz w:val="21"/>
      <w:szCs w:val="21"/>
    </w:rPr>
  </w:style>
  <w:style w:type="character" w:customStyle="1" w:styleId="40">
    <w:name w:val="页眉 字符"/>
    <w:basedOn w:val="33"/>
    <w:link w:val="20"/>
    <w:autoRedefine/>
    <w:qFormat/>
    <w:uiPriority w:val="99"/>
    <w:rPr>
      <w:rFonts w:ascii="Times New Roman" w:hAnsi="Times New Roman" w:eastAsia="宋体" w:cs="Times New Roman"/>
      <w:sz w:val="18"/>
      <w:szCs w:val="18"/>
    </w:rPr>
  </w:style>
  <w:style w:type="character" w:customStyle="1" w:styleId="41">
    <w:name w:val="页脚 字符"/>
    <w:basedOn w:val="33"/>
    <w:link w:val="19"/>
    <w:autoRedefine/>
    <w:qFormat/>
    <w:uiPriority w:val="99"/>
    <w:rPr>
      <w:rFonts w:ascii="Times New Roman" w:hAnsi="Times New Roman" w:eastAsia="宋体" w:cs="Times New Roman"/>
      <w:sz w:val="18"/>
      <w:szCs w:val="18"/>
    </w:rPr>
  </w:style>
  <w:style w:type="character" w:customStyle="1" w:styleId="42">
    <w:name w:val="纯文本 字符"/>
    <w:basedOn w:val="33"/>
    <w:link w:val="14"/>
    <w:autoRedefine/>
    <w:qFormat/>
    <w:uiPriority w:val="0"/>
    <w:rPr>
      <w:rFonts w:ascii="宋体" w:hAnsi="Courier New" w:eastAsia="宋体" w:cs="Courier New"/>
      <w:szCs w:val="21"/>
    </w:rPr>
  </w:style>
  <w:style w:type="paragraph" w:styleId="43">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节"/>
    <w:basedOn w:val="1"/>
    <w:link w:val="45"/>
    <w:autoRedefine/>
    <w:qFormat/>
    <w:uiPriority w:val="0"/>
    <w:pPr>
      <w:spacing w:line="340" w:lineRule="exact"/>
      <w:outlineLvl w:val="0"/>
    </w:pPr>
    <w:rPr>
      <w:rFonts w:ascii="黑体" w:hAnsi="宋体" w:eastAsia="黑体"/>
      <w:spacing w:val="4"/>
    </w:rPr>
  </w:style>
  <w:style w:type="character" w:customStyle="1" w:styleId="45">
    <w:name w:val="节 Char1"/>
    <w:basedOn w:val="33"/>
    <w:link w:val="44"/>
    <w:autoRedefine/>
    <w:qFormat/>
    <w:uiPriority w:val="0"/>
    <w:rPr>
      <w:rFonts w:ascii="黑体" w:hAnsi="宋体" w:eastAsia="黑体" w:cs="Times New Roman"/>
      <w:spacing w:val="4"/>
      <w:szCs w:val="21"/>
    </w:rPr>
  </w:style>
  <w:style w:type="paragraph" w:customStyle="1" w:styleId="46">
    <w:name w:val="段"/>
    <w:basedOn w:val="1"/>
    <w:link w:val="47"/>
    <w:autoRedefine/>
    <w:qFormat/>
    <w:uiPriority w:val="0"/>
    <w:pPr>
      <w:widowControl/>
      <w:adjustRightInd w:val="0"/>
      <w:spacing w:line="340" w:lineRule="exact"/>
      <w:ind w:firstLine="200" w:firstLineChars="200"/>
      <w:jc w:val="left"/>
    </w:pPr>
    <w:rPr>
      <w:bCs/>
      <w:spacing w:val="4"/>
      <w:kern w:val="21"/>
    </w:rPr>
  </w:style>
  <w:style w:type="character" w:customStyle="1" w:styleId="47">
    <w:name w:val="段 Char"/>
    <w:basedOn w:val="33"/>
    <w:link w:val="46"/>
    <w:autoRedefine/>
    <w:qFormat/>
    <w:uiPriority w:val="0"/>
    <w:rPr>
      <w:rFonts w:ascii="Times New Roman" w:hAnsi="Times New Roman" w:cs="Times New Roman"/>
      <w:bCs/>
      <w:spacing w:val="4"/>
      <w:kern w:val="21"/>
      <w:szCs w:val="21"/>
    </w:rPr>
  </w:style>
  <w:style w:type="paragraph" w:customStyle="1" w:styleId="48">
    <w:name w:val="章样式"/>
    <w:basedOn w:val="2"/>
    <w:next w:val="1"/>
    <w:autoRedefine/>
    <w:qFormat/>
    <w:uiPriority w:val="0"/>
    <w:pPr>
      <w:spacing w:before="120" w:after="120" w:line="360" w:lineRule="auto"/>
      <w:jc w:val="center"/>
    </w:pPr>
    <w:rPr>
      <w:rFonts w:ascii="宋体" w:hAnsi="宋体"/>
      <w:color w:val="000000"/>
      <w:sz w:val="28"/>
      <w:szCs w:val="24"/>
    </w:rPr>
  </w:style>
  <w:style w:type="character" w:customStyle="1" w:styleId="49">
    <w:name w:val="正文文本 字符"/>
    <w:basedOn w:val="33"/>
    <w:link w:val="10"/>
    <w:autoRedefine/>
    <w:qFormat/>
    <w:uiPriority w:val="0"/>
    <w:rPr>
      <w:rFonts w:ascii="Times New Roman" w:hAnsi="Times New Roman" w:eastAsia="宋体" w:cs="Times New Roman"/>
      <w:color w:val="FF00FF"/>
      <w:szCs w:val="24"/>
    </w:rPr>
  </w:style>
  <w:style w:type="character" w:customStyle="1" w:styleId="50">
    <w:name w:val="标题 1 字符"/>
    <w:basedOn w:val="33"/>
    <w:link w:val="2"/>
    <w:autoRedefine/>
    <w:qFormat/>
    <w:uiPriority w:val="0"/>
    <w:rPr>
      <w:rFonts w:eastAsia="黑体"/>
      <w:b/>
      <w:bCs/>
      <w:kern w:val="44"/>
      <w:szCs w:val="44"/>
    </w:rPr>
  </w:style>
  <w:style w:type="character" w:customStyle="1" w:styleId="51">
    <w:name w:val="标题 2 字符"/>
    <w:basedOn w:val="33"/>
    <w:link w:val="3"/>
    <w:autoRedefine/>
    <w:qFormat/>
    <w:uiPriority w:val="0"/>
    <w:rPr>
      <w:rFonts w:ascii="Arial" w:hAnsi="Arial" w:eastAsia="黑体"/>
      <w:b/>
      <w:bCs/>
      <w:szCs w:val="32"/>
    </w:rPr>
  </w:style>
  <w:style w:type="paragraph" w:customStyle="1" w:styleId="52">
    <w:name w:val="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3">
    <w:name w:val="样式2"/>
    <w:basedOn w:val="1"/>
    <w:autoRedefine/>
    <w:qFormat/>
    <w:uiPriority w:val="0"/>
    <w:pPr>
      <w:adjustRightInd w:val="0"/>
      <w:spacing w:line="312" w:lineRule="atLeast"/>
      <w:jc w:val="center"/>
      <w:textAlignment w:val="baseline"/>
      <w:outlineLvl w:val="1"/>
    </w:pPr>
    <w:rPr>
      <w:rFonts w:hAnsi="宋体"/>
      <w:b/>
      <w:bCs/>
      <w:kern w:val="0"/>
      <w:sz w:val="24"/>
    </w:rPr>
  </w:style>
  <w:style w:type="character" w:customStyle="1" w:styleId="54">
    <w:name w:val="正文文本缩进 字符"/>
    <w:basedOn w:val="33"/>
    <w:link w:val="11"/>
    <w:autoRedefine/>
    <w:qFormat/>
    <w:uiPriority w:val="0"/>
    <w:rPr>
      <w:rFonts w:ascii="宋体" w:hAnsi="宋体" w:eastAsia="宋体" w:cs="Times New Roman"/>
      <w:kern w:val="0"/>
      <w:sz w:val="24"/>
      <w:szCs w:val="21"/>
    </w:rPr>
  </w:style>
  <w:style w:type="character" w:customStyle="1" w:styleId="55">
    <w:name w:val="批注框文本 字符"/>
    <w:basedOn w:val="33"/>
    <w:link w:val="18"/>
    <w:autoRedefine/>
    <w:semiHidden/>
    <w:qFormat/>
    <w:uiPriority w:val="99"/>
    <w:rPr>
      <w:rFonts w:ascii="Times New Roman" w:hAnsi="Times New Roman" w:eastAsia="宋体" w:cs="Times New Roman"/>
      <w:sz w:val="18"/>
      <w:szCs w:val="18"/>
    </w:rPr>
  </w:style>
  <w:style w:type="paragraph" w:customStyle="1" w:styleId="56">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57">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58">
    <w:name w:val="发布"/>
    <w:basedOn w:val="33"/>
    <w:autoRedefine/>
    <w:qFormat/>
    <w:uiPriority w:val="0"/>
    <w:rPr>
      <w:rFonts w:ascii="黑体" w:eastAsia="黑体"/>
      <w:spacing w:val="22"/>
      <w:w w:val="100"/>
      <w:position w:val="3"/>
      <w:sz w:val="28"/>
    </w:rPr>
  </w:style>
  <w:style w:type="paragraph" w:customStyle="1" w:styleId="59">
    <w:name w:val="其他发布部门"/>
    <w:basedOn w:val="1"/>
    <w:autoRedefine/>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60">
    <w:name w:val="发布日期"/>
    <w:autoRedefine/>
    <w:qFormat/>
    <w:uiPriority w:val="0"/>
    <w:pPr>
      <w:framePr w:w="4000" w:h="473"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1">
    <w:name w:val="封面标准号1"/>
    <w:autoRedefine/>
    <w:qFormat/>
    <w:uiPriority w:val="0"/>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paragraph" w:customStyle="1" w:styleId="62">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3">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character" w:customStyle="1" w:styleId="64">
    <w:name w:val="正文文本 3 字符"/>
    <w:basedOn w:val="33"/>
    <w:link w:val="9"/>
    <w:autoRedefine/>
    <w:qFormat/>
    <w:uiPriority w:val="0"/>
    <w:rPr>
      <w:rFonts w:ascii="Times New Roman" w:hAnsi="Times New Roman" w:eastAsia="宋体" w:cs="Times New Roman"/>
      <w:sz w:val="16"/>
      <w:szCs w:val="16"/>
    </w:rPr>
  </w:style>
  <w:style w:type="paragraph" w:customStyle="1" w:styleId="65">
    <w:name w:val="缩2"/>
    <w:basedOn w:val="1"/>
    <w:autoRedefine/>
    <w:qFormat/>
    <w:uiPriority w:val="0"/>
    <w:pPr>
      <w:spacing w:line="360" w:lineRule="auto"/>
      <w:ind w:firstLine="200" w:firstLineChars="200"/>
    </w:pPr>
    <w:rPr>
      <w:sz w:val="24"/>
    </w:rPr>
  </w:style>
  <w:style w:type="character" w:customStyle="1" w:styleId="66">
    <w:name w:val="日期 字符"/>
    <w:basedOn w:val="33"/>
    <w:link w:val="16"/>
    <w:autoRedefine/>
    <w:qFormat/>
    <w:uiPriority w:val="0"/>
    <w:rPr>
      <w:rFonts w:ascii="Times New Roman" w:hAnsi="Times New Roman" w:eastAsia="宋体" w:cs="Times New Roman"/>
      <w:szCs w:val="24"/>
    </w:rPr>
  </w:style>
  <w:style w:type="character" w:customStyle="1" w:styleId="67">
    <w:name w:val="HTML 预设格式 字符"/>
    <w:basedOn w:val="33"/>
    <w:link w:val="29"/>
    <w:autoRedefine/>
    <w:qFormat/>
    <w:uiPriority w:val="0"/>
    <w:rPr>
      <w:rFonts w:ascii="黑体" w:hAnsi="Courier New" w:eastAsia="黑体" w:cs="Courier New"/>
      <w:kern w:val="0"/>
      <w:sz w:val="20"/>
      <w:szCs w:val="20"/>
    </w:rPr>
  </w:style>
  <w:style w:type="paragraph" w:customStyle="1" w:styleId="68">
    <w:name w:val="样式 宋体 小四 黑色 左 段前: 5 磅 段后: 5 磅 行距: 1.5 倍行距"/>
    <w:basedOn w:val="1"/>
    <w:autoRedefine/>
    <w:qFormat/>
    <w:uiPriority w:val="0"/>
    <w:pPr>
      <w:spacing w:before="100" w:beforeAutospacing="1" w:after="100" w:afterAutospacing="1" w:line="360" w:lineRule="auto"/>
      <w:contextualSpacing/>
      <w:jc w:val="left"/>
    </w:pPr>
    <w:rPr>
      <w:rFonts w:ascii="宋体" w:hAnsi="宋体" w:cs="宋体"/>
      <w:color w:val="000000"/>
      <w:sz w:val="24"/>
      <w:szCs w:val="20"/>
    </w:rPr>
  </w:style>
  <w:style w:type="paragraph" w:customStyle="1" w:styleId="69">
    <w:name w:val="样式 样式2 + 宋体 非加粗 黑色 两端对齐 段前: 5 磅 段后: 5 磅 行距: 1.5 倍行距"/>
    <w:basedOn w:val="53"/>
    <w:autoRedefine/>
    <w:qFormat/>
    <w:uiPriority w:val="0"/>
    <w:pPr>
      <w:adjustRightInd/>
      <w:spacing w:before="100" w:beforeAutospacing="1" w:after="100" w:afterAutospacing="1" w:line="360" w:lineRule="auto"/>
      <w:contextualSpacing/>
      <w:jc w:val="both"/>
      <w:outlineLvl w:val="9"/>
    </w:pPr>
    <w:rPr>
      <w:rFonts w:ascii="宋体" w:cs="宋体"/>
      <w:b w:val="0"/>
      <w:bCs w:val="0"/>
      <w:color w:val="000000"/>
      <w:kern w:val="2"/>
      <w:szCs w:val="20"/>
    </w:rPr>
  </w:style>
  <w:style w:type="paragraph" w:customStyle="1" w:styleId="70">
    <w:name w:val="节样式"/>
    <w:basedOn w:val="3"/>
    <w:next w:val="1"/>
    <w:autoRedefine/>
    <w:qFormat/>
    <w:uiPriority w:val="0"/>
    <w:rPr>
      <w:rFonts w:ascii="黑体" w:hAnsi="黑体"/>
      <w:b w:val="0"/>
      <w:color w:val="000000"/>
    </w:rPr>
  </w:style>
  <w:style w:type="paragraph" w:customStyle="1" w:styleId="71">
    <w:name w:val="样式 纯文本 + 左 段前: 5 磅 段后: 5 磅 行距: 1.5 倍行距"/>
    <w:basedOn w:val="14"/>
    <w:autoRedefine/>
    <w:qFormat/>
    <w:uiPriority w:val="0"/>
    <w:pPr>
      <w:spacing w:line="360" w:lineRule="auto"/>
      <w:jc w:val="left"/>
    </w:pPr>
    <w:rPr>
      <w:rFonts w:cs="宋体"/>
      <w:szCs w:val="20"/>
    </w:rPr>
  </w:style>
  <w:style w:type="paragraph" w:customStyle="1" w:styleId="72">
    <w:name w:val="样式 样式 宋体 小四 黑色 左 段前: 5 磅 段后: 5 磅 行距: 1.5 倍行距 + 五号"/>
    <w:basedOn w:val="68"/>
    <w:autoRedefine/>
    <w:qFormat/>
    <w:uiPriority w:val="0"/>
    <w:pPr>
      <w:spacing w:before="0" w:beforeAutospacing="0" w:after="0" w:afterAutospacing="0"/>
      <w:contextualSpacing w:val="0"/>
    </w:pPr>
    <w:rPr>
      <w:sz w:val="21"/>
    </w:rPr>
  </w:style>
  <w:style w:type="paragraph" w:customStyle="1" w:styleId="73">
    <w:name w:val="样式1"/>
    <w:basedOn w:val="21"/>
    <w:autoRedefine/>
    <w:qFormat/>
    <w:uiPriority w:val="0"/>
    <w:pPr>
      <w:adjustRightInd w:val="0"/>
      <w:spacing w:line="312" w:lineRule="atLeast"/>
      <w:textAlignment w:val="baseline"/>
      <w:outlineLvl w:val="0"/>
    </w:pPr>
    <w:rPr>
      <w:rFonts w:hAnsi="宋体"/>
      <w:b w:val="0"/>
      <w:bCs w:val="0"/>
      <w:kern w:val="0"/>
      <w:szCs w:val="21"/>
    </w:rPr>
  </w:style>
  <w:style w:type="character" w:customStyle="1" w:styleId="74">
    <w:name w:val="正文文本 2 字符"/>
    <w:basedOn w:val="33"/>
    <w:link w:val="27"/>
    <w:autoRedefine/>
    <w:qFormat/>
    <w:uiPriority w:val="0"/>
    <w:rPr>
      <w:rFonts w:ascii="Times New Roman" w:hAnsi="Times New Roman" w:eastAsia="宋体" w:cs="Times New Roman"/>
      <w:strike/>
      <w:color w:val="0000FF"/>
      <w:szCs w:val="24"/>
    </w:rPr>
  </w:style>
  <w:style w:type="character" w:customStyle="1" w:styleId="75">
    <w:name w:val="样式2 Char"/>
    <w:basedOn w:val="33"/>
    <w:autoRedefine/>
    <w:qFormat/>
    <w:uiPriority w:val="0"/>
    <w:rPr>
      <w:rFonts w:ascii="宋体" w:hAnsi="宋体" w:eastAsia="宋体" w:cs="Courier New"/>
      <w:b/>
      <w:bCs/>
      <w:kern w:val="2"/>
      <w:sz w:val="24"/>
      <w:szCs w:val="21"/>
      <w:lang w:val="en-US" w:eastAsia="zh-CN" w:bidi="ar-SA"/>
    </w:rPr>
  </w:style>
  <w:style w:type="character" w:customStyle="1" w:styleId="76">
    <w:name w:val="正文文本缩进 2 字符"/>
    <w:basedOn w:val="33"/>
    <w:link w:val="17"/>
    <w:autoRedefine/>
    <w:qFormat/>
    <w:uiPriority w:val="0"/>
    <w:rPr>
      <w:rFonts w:ascii="Times New Roman" w:hAnsi="Times New Roman" w:eastAsia="宋体" w:cs="Times New Roman"/>
      <w:szCs w:val="24"/>
    </w:rPr>
  </w:style>
  <w:style w:type="paragraph" w:customStyle="1" w:styleId="77">
    <w:name w:val="Char Char1 Char Char Char Char Char Char Char"/>
    <w:basedOn w:val="1"/>
    <w:autoRedefine/>
    <w:qFormat/>
    <w:uiPriority w:val="0"/>
    <w:pPr>
      <w:widowControl/>
      <w:spacing w:after="160" w:line="240" w:lineRule="exact"/>
      <w:jc w:val="left"/>
    </w:pPr>
    <w:rPr>
      <w:rFonts w:ascii="Tahoma" w:hAnsi="Tahoma" w:eastAsia="Times New Roman" w:cs="Tahoma"/>
      <w:kern w:val="0"/>
      <w:sz w:val="20"/>
      <w:szCs w:val="20"/>
      <w:lang w:eastAsia="en-US"/>
    </w:rPr>
  </w:style>
  <w:style w:type="paragraph" w:customStyle="1" w:styleId="78">
    <w:name w:val="Char2"/>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79">
    <w:name w:val="批注文字 字符"/>
    <w:basedOn w:val="33"/>
    <w:link w:val="8"/>
    <w:autoRedefine/>
    <w:semiHidden/>
    <w:qFormat/>
    <w:uiPriority w:val="0"/>
    <w:rPr>
      <w:rFonts w:ascii="Times New Roman" w:hAnsi="Times New Roman" w:eastAsia="宋体" w:cs="Times New Roman"/>
      <w:szCs w:val="24"/>
    </w:rPr>
  </w:style>
  <w:style w:type="character" w:customStyle="1" w:styleId="80">
    <w:name w:val="Char Char"/>
    <w:basedOn w:val="33"/>
    <w:autoRedefine/>
    <w:qFormat/>
    <w:locked/>
    <w:uiPriority w:val="0"/>
    <w:rPr>
      <w:rFonts w:ascii="宋体" w:hAnsi="Courier New" w:eastAsia="宋体" w:cs="Courier New"/>
      <w:kern w:val="2"/>
      <w:sz w:val="21"/>
      <w:szCs w:val="21"/>
      <w:lang w:val="en-US" w:eastAsia="zh-CN" w:bidi="ar-SA"/>
    </w:rPr>
  </w:style>
  <w:style w:type="paragraph" w:customStyle="1" w:styleId="81">
    <w:name w:val="正文样式"/>
    <w:basedOn w:val="10"/>
    <w:autoRedefine/>
    <w:qFormat/>
    <w:uiPriority w:val="0"/>
    <w:pPr>
      <w:spacing w:line="360" w:lineRule="auto"/>
      <w:jc w:val="left"/>
    </w:pPr>
    <w:rPr>
      <w:rFonts w:ascii="宋体" w:cs="宋体"/>
      <w:color w:val="auto"/>
      <w:sz w:val="24"/>
      <w:szCs w:val="20"/>
    </w:rPr>
  </w:style>
  <w:style w:type="character" w:customStyle="1" w:styleId="82">
    <w:name w:val="apple-converted-space"/>
    <w:basedOn w:val="33"/>
    <w:autoRedefine/>
    <w:qFormat/>
    <w:uiPriority w:val="0"/>
  </w:style>
  <w:style w:type="character" w:customStyle="1" w:styleId="83">
    <w:name w:val="批注主题 Char"/>
    <w:link w:val="84"/>
    <w:autoRedefine/>
    <w:qFormat/>
    <w:uiPriority w:val="0"/>
    <w:rPr>
      <w:rFonts w:ascii="Times New Roman" w:hAnsi="Times New Roman" w:eastAsia="宋体" w:cs="Times New Roman"/>
      <w:b/>
      <w:bCs/>
      <w:szCs w:val="24"/>
    </w:rPr>
  </w:style>
  <w:style w:type="paragraph" w:customStyle="1" w:styleId="84">
    <w:name w:val="批注主题1"/>
    <w:basedOn w:val="8"/>
    <w:next w:val="8"/>
    <w:link w:val="83"/>
    <w:autoRedefine/>
    <w:qFormat/>
    <w:uiPriority w:val="0"/>
    <w:rPr>
      <w:b/>
      <w:bCs/>
    </w:rPr>
  </w:style>
  <w:style w:type="paragraph" w:styleId="85">
    <w:name w:val="List Paragraph"/>
    <w:basedOn w:val="1"/>
    <w:autoRedefine/>
    <w:qFormat/>
    <w:uiPriority w:val="34"/>
    <w:pPr>
      <w:ind w:firstLine="420" w:firstLineChars="200"/>
    </w:pPr>
  </w:style>
  <w:style w:type="paragraph" w:customStyle="1" w:styleId="86">
    <w:name w:val="Char1"/>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87">
    <w:name w:val="标题 3 字符"/>
    <w:basedOn w:val="33"/>
    <w:link w:val="5"/>
    <w:autoRedefine/>
    <w:qFormat/>
    <w:uiPriority w:val="9"/>
    <w:rPr>
      <w:rFonts w:eastAsia="黑体"/>
      <w:bCs/>
      <w:szCs w:val="32"/>
    </w:rPr>
  </w:style>
  <w:style w:type="paragraph" w:customStyle="1" w:styleId="88">
    <w:name w:val="A1"/>
    <w:basedOn w:val="1"/>
    <w:autoRedefine/>
    <w:qFormat/>
    <w:uiPriority w:val="0"/>
    <w:pPr>
      <w:spacing w:line="360" w:lineRule="auto"/>
      <w:jc w:val="left"/>
      <w:outlineLvl w:val="0"/>
    </w:pPr>
    <w:rPr>
      <w:rFonts w:ascii="宋体" w:hAnsi="宋体" w:eastAsia="黑体"/>
      <w:b/>
    </w:rPr>
  </w:style>
  <w:style w:type="paragraph" w:customStyle="1" w:styleId="89">
    <w:name w:val="A2"/>
    <w:basedOn w:val="1"/>
    <w:autoRedefine/>
    <w:qFormat/>
    <w:uiPriority w:val="0"/>
    <w:pPr>
      <w:spacing w:line="360" w:lineRule="auto"/>
      <w:jc w:val="left"/>
      <w:outlineLvl w:val="1"/>
    </w:pPr>
    <w:rPr>
      <w:rFonts w:asciiTheme="minorEastAsia" w:hAnsiTheme="minorEastAsia"/>
      <w:kern w:val="0"/>
      <w:sz w:val="24"/>
    </w:rPr>
  </w:style>
  <w:style w:type="paragraph" w:customStyle="1" w:styleId="90">
    <w:name w:val="样式3"/>
    <w:basedOn w:val="89"/>
    <w:autoRedefine/>
    <w:qFormat/>
    <w:uiPriority w:val="0"/>
  </w:style>
  <w:style w:type="paragraph" w:customStyle="1" w:styleId="91">
    <w:name w:val="A3"/>
    <w:basedOn w:val="1"/>
    <w:qFormat/>
    <w:uiPriority w:val="0"/>
    <w:pPr>
      <w:spacing w:line="360" w:lineRule="auto"/>
      <w:jc w:val="left"/>
      <w:outlineLvl w:val="2"/>
    </w:pPr>
    <w:rPr>
      <w:rFonts w:eastAsia="黑体" w:asciiTheme="minorEastAsia" w:hAnsiTheme="minorEastAsia"/>
      <w:kern w:val="0"/>
    </w:rPr>
  </w:style>
  <w:style w:type="paragraph" w:customStyle="1" w:styleId="92">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93">
    <w:name w:val="标题 字符"/>
    <w:basedOn w:val="33"/>
    <w:link w:val="30"/>
    <w:autoRedefine/>
    <w:qFormat/>
    <w:uiPriority w:val="10"/>
    <w:rPr>
      <w:rFonts w:asciiTheme="majorHAnsi" w:hAnsiTheme="majorHAnsi" w:eastAsiaTheme="majorEastAsia" w:cstheme="majorBidi"/>
      <w:b/>
      <w:bCs/>
      <w:sz w:val="32"/>
      <w:szCs w:val="32"/>
    </w:rPr>
  </w:style>
  <w:style w:type="character" w:customStyle="1" w:styleId="94">
    <w:name w:val="副标题 字符"/>
    <w:basedOn w:val="33"/>
    <w:link w:val="23"/>
    <w:autoRedefine/>
    <w:qFormat/>
    <w:uiPriority w:val="11"/>
    <w:rPr>
      <w:b/>
      <w:bCs/>
      <w:kern w:val="28"/>
      <w:sz w:val="32"/>
      <w:szCs w:val="32"/>
    </w:rPr>
  </w:style>
  <w:style w:type="character" w:customStyle="1" w:styleId="95">
    <w:name w:val="不明显强调1"/>
    <w:basedOn w:val="33"/>
    <w:qFormat/>
    <w:uiPriority w:val="19"/>
    <w:rPr>
      <w:i/>
      <w:iCs/>
      <w:color w:val="404040" w:themeColor="text1" w:themeTint="BF"/>
      <w14:textFill>
        <w14:solidFill>
          <w14:schemeClr w14:val="tx1">
            <w14:lumMod w14:val="75000"/>
            <w14:lumOff w14:val="25000"/>
          </w14:schemeClr>
        </w14:solidFill>
      </w14:textFill>
    </w:rPr>
  </w:style>
  <w:style w:type="character" w:customStyle="1" w:styleId="96">
    <w:name w:val="明显强调1"/>
    <w:basedOn w:val="33"/>
    <w:qFormat/>
    <w:uiPriority w:val="21"/>
    <w:rPr>
      <w:i/>
      <w:iCs/>
      <w:color w:val="4F81BD" w:themeColor="accent1"/>
      <w14:textFill>
        <w14:solidFill>
          <w14:schemeClr w14:val="accent1"/>
        </w14:solidFill>
      </w14:textFill>
    </w:rPr>
  </w:style>
  <w:style w:type="paragraph" w:customStyle="1" w:styleId="97">
    <w:name w:val="样式4"/>
    <w:basedOn w:val="88"/>
    <w:qFormat/>
    <w:uiPriority w:val="0"/>
    <w:pPr>
      <w:spacing w:before="160" w:after="120"/>
    </w:pPr>
    <w:rPr>
      <w:b w:val="0"/>
    </w:rPr>
  </w:style>
  <w:style w:type="paragraph" w:customStyle="1" w:styleId="98">
    <w:name w:val="样式5"/>
    <w:basedOn w:val="1"/>
    <w:autoRedefine/>
    <w:qFormat/>
    <w:uiPriority w:val="0"/>
    <w:pPr>
      <w:spacing w:before="100" w:beforeLines="100" w:after="100" w:afterLines="100" w:line="312" w:lineRule="exact"/>
    </w:pPr>
    <w:rPr>
      <w:rFonts w:ascii="黑体" w:hAnsi="黑体" w:eastAsia="黑体"/>
      <w:color w:val="000000" w:themeColor="text1"/>
      <w14:textFill>
        <w14:solidFill>
          <w14:schemeClr w14:val="tx1"/>
        </w14:solidFill>
      </w14:textFill>
    </w:rPr>
  </w:style>
  <w:style w:type="table" w:customStyle="1" w:styleId="99">
    <w:name w:val="网格型1"/>
    <w:basedOn w:val="3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0">
    <w:name w:val="附录标识"/>
    <w:basedOn w:val="1"/>
    <w:autoRedefine/>
    <w:qFormat/>
    <w:uiPriority w:val="0"/>
    <w:pPr>
      <w:widowControl/>
      <w:numPr>
        <w:ilvl w:val="0"/>
        <w:numId w:val="2"/>
      </w:numPr>
      <w:shd w:val="clear" w:color="FFFFFF" w:fill="FFFFFF"/>
      <w:tabs>
        <w:tab w:val="left" w:pos="6405"/>
      </w:tabs>
      <w:spacing w:before="640" w:after="200"/>
      <w:jc w:val="center"/>
      <w:outlineLvl w:val="0"/>
    </w:pPr>
    <w:rPr>
      <w:rFonts w:ascii="黑体" w:hAnsi="Calibri" w:eastAsia="黑体" w:cs="Times New Roman"/>
    </w:rPr>
  </w:style>
  <w:style w:type="paragraph" w:customStyle="1" w:styleId="101">
    <w:name w:val="标准文件_段"/>
    <w:link w:val="102"/>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02">
    <w:name w:val="标准文件_段 Char"/>
    <w:link w:val="101"/>
    <w:qFormat/>
    <w:uiPriority w:val="0"/>
    <w:rPr>
      <w:rFonts w:ascii="宋体" w:cs="Times New Roman"/>
      <w:kern w:val="0"/>
      <w:szCs w:val="20"/>
    </w:rPr>
  </w:style>
  <w:style w:type="paragraph" w:customStyle="1" w:styleId="103">
    <w:name w:val="001正文"/>
    <w:basedOn w:val="1"/>
    <w:qFormat/>
    <w:uiPriority w:val="0"/>
    <w:pPr>
      <w:spacing w:line="360" w:lineRule="auto"/>
      <w:ind w:firstLine="200" w:firstLineChars="200"/>
    </w:pPr>
    <w:rPr>
      <w:rFonts w:cs="Times New Roman"/>
      <w:sz w:val="24"/>
      <w:szCs w:val="24"/>
    </w:rPr>
  </w:style>
  <w:style w:type="character" w:customStyle="1" w:styleId="104">
    <w:name w:val="批注文字 Char"/>
    <w:qFormat/>
    <w:uiPriority w:val="99"/>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wmf"/><Relationship Id="rId7" Type="http://schemas.openxmlformats.org/officeDocument/2006/relationships/oleObject" Target="embeddings/oleObject1.bin"/><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oleObject" Target="embeddings/oleObject5.bin"/><Relationship Id="rId11" Type="http://schemas.openxmlformats.org/officeDocument/2006/relationships/oleObject" Target="embeddings/oleObject4.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804F2E-0DCD-4DDB-A158-8A023EF7421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1920</Words>
  <Characters>10945</Characters>
  <Lines>91</Lines>
  <Paragraphs>25</Paragraphs>
  <TotalTime>189</TotalTime>
  <ScaleCrop>false</ScaleCrop>
  <LinksUpToDate>false</LinksUpToDate>
  <CharactersWithSpaces>12840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2023-06-02T08:59:00Z</dcterms:created>
  <dc:creator>pc</dc:creator>
  <cp:lastModifiedBy>dong</cp:lastModifiedBy>
  <dcterms:modified xsi:type="dcterms:W3CDTF">2024-02-22T03:20:56Z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865210CF2A7C4835AFAE1E0E41E70279</vt:lpwstr>
  </property>
</Properties>
</file>